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829EAF" w14:textId="44CC97FE" w:rsidR="007C71FB" w:rsidRPr="00B266B0" w:rsidRDefault="007C71FB" w:rsidP="007C71F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1F2D74">
        <w:rPr>
          <w:bCs/>
          <w:noProof w:val="0"/>
          <w:sz w:val="24"/>
          <w:szCs w:val="24"/>
        </w:rPr>
        <w:t>3280</w:t>
      </w:r>
    </w:p>
    <w:p w14:paraId="290E61AA" w14:textId="3D6BCFE1" w:rsidR="007C71FB" w:rsidRPr="00465587" w:rsidRDefault="007C71FB" w:rsidP="007C71FB">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r w:rsidR="0046299A">
        <w:rPr>
          <w:rFonts w:eastAsia="SimSun"/>
          <w:i/>
          <w:iCs/>
          <w:noProof w:val="0"/>
          <w:sz w:val="24"/>
          <w:szCs w:val="24"/>
          <w:lang w:eastAsia="zh-CN"/>
        </w:rPr>
        <w:t xml:space="preserve">Revision of </w:t>
      </w:r>
      <w:r>
        <w:rPr>
          <w:rFonts w:eastAsia="SimSun"/>
          <w:bCs/>
          <w:i/>
          <w:noProof w:val="0"/>
          <w:sz w:val="24"/>
          <w:szCs w:val="24"/>
          <w:lang w:eastAsia="zh-CN"/>
        </w:rPr>
        <w:t xml:space="preserve">R2-2201586 &amp; </w:t>
      </w:r>
      <w:r w:rsidR="0046299A">
        <w:rPr>
          <w:rFonts w:eastAsia="SimSun"/>
          <w:bCs/>
          <w:i/>
          <w:noProof w:val="0"/>
          <w:sz w:val="24"/>
          <w:szCs w:val="24"/>
          <w:lang w:eastAsia="zh-CN"/>
        </w:rPr>
        <w:t>R2-2201338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F0A5C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7C67">
        <w:rPr>
          <w:rFonts w:cs="Arial"/>
          <w:b/>
          <w:bCs/>
          <w:sz w:val="24"/>
          <w:lang w:eastAsia="ja-JP"/>
        </w:rPr>
        <w:t>8.6.2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AF3DC8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7C67">
        <w:rPr>
          <w:rFonts w:ascii="Arial" w:hAnsi="Arial" w:cs="Arial"/>
          <w:b/>
          <w:bCs/>
          <w:sz w:val="24"/>
        </w:rPr>
        <w:t>UP</w:t>
      </w:r>
      <w:r w:rsidR="00340A7E">
        <w:rPr>
          <w:rFonts w:ascii="Arial" w:hAnsi="Arial" w:cs="Arial"/>
          <w:b/>
          <w:bCs/>
          <w:sz w:val="24"/>
        </w:rPr>
        <w:t xml:space="preserve"> and CG</w:t>
      </w:r>
      <w:r w:rsidR="006E7C67">
        <w:rPr>
          <w:rFonts w:ascii="Arial" w:hAnsi="Arial" w:cs="Arial"/>
          <w:b/>
          <w:bCs/>
          <w:sz w:val="24"/>
        </w:rPr>
        <w:t xml:space="preserve"> aspects for SDT</w:t>
      </w:r>
    </w:p>
    <w:p w14:paraId="1F147C23" w14:textId="08A63F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7C67" w:rsidRPr="006E7C67">
        <w:rPr>
          <w:rFonts w:ascii="Arial" w:hAnsi="Arial" w:cs="Arial"/>
          <w:b/>
          <w:bCs/>
          <w:sz w:val="24"/>
        </w:rPr>
        <w:t xml:space="preserve">NR_SmallData_INACTIVE-Core </w:t>
      </w:r>
      <w:r>
        <w:rPr>
          <w:rFonts w:ascii="Arial" w:hAnsi="Arial" w:cs="Arial"/>
          <w:b/>
          <w:bCs/>
          <w:sz w:val="24"/>
        </w:rPr>
        <w:t xml:space="preserve">- Release </w:t>
      </w:r>
      <w:r w:rsidR="006E7C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3D6B4E" w:rsidRDefault="00A209D6" w:rsidP="00A209D6">
      <w:pPr>
        <w:pStyle w:val="Heading1"/>
      </w:pPr>
      <w:r w:rsidRPr="003D6B4E">
        <w:t>1</w:t>
      </w:r>
      <w:r w:rsidRPr="003D6B4E">
        <w:tab/>
        <w:t>Introduction</w:t>
      </w:r>
    </w:p>
    <w:p w14:paraId="0464432C" w14:textId="7FAB5EC6" w:rsidR="006E7C67" w:rsidRDefault="006E7C67" w:rsidP="00A209D6">
      <w:r w:rsidRPr="003D6B4E">
        <w:t xml:space="preserve">In this contribution, we discuss </w:t>
      </w:r>
      <w:r w:rsidR="003D6B4E">
        <w:t>the UP and CG-SDT related issues.</w:t>
      </w:r>
    </w:p>
    <w:p w14:paraId="4F547731" w14:textId="6F14D2E1" w:rsidR="00A209D6" w:rsidRPr="006E13D1" w:rsidRDefault="00A209D6" w:rsidP="00B7538C">
      <w:pPr>
        <w:pStyle w:val="Heading1"/>
      </w:pPr>
      <w:r w:rsidRPr="006E13D1">
        <w:t>2</w:t>
      </w:r>
      <w:r w:rsidRPr="006E13D1">
        <w:tab/>
      </w:r>
      <w:r w:rsidR="006F4685">
        <w:t>General UP aspects</w:t>
      </w:r>
    </w:p>
    <w:p w14:paraId="5F01C058" w14:textId="54832405" w:rsidR="00A209D6" w:rsidRPr="006E13D1" w:rsidRDefault="00B7538C" w:rsidP="00A209D6">
      <w:pPr>
        <w:pStyle w:val="Heading2"/>
      </w:pPr>
      <w:r>
        <w:t>2</w:t>
      </w:r>
      <w:r w:rsidR="00A209D6" w:rsidRPr="006E13D1">
        <w:t>.1</w:t>
      </w:r>
      <w:r w:rsidR="00A209D6" w:rsidRPr="006E13D1">
        <w:tab/>
      </w:r>
      <w:r w:rsidR="00664DCD">
        <w:t>Default configuration for PHR and BSR</w:t>
      </w:r>
    </w:p>
    <w:p w14:paraId="7C1006D6" w14:textId="62F90995" w:rsidR="006F4685" w:rsidRDefault="006F4685" w:rsidP="006F4685">
      <w:r>
        <w:t>The previous meeting RAN2#116-e reached the following agreements:</w:t>
      </w:r>
    </w:p>
    <w:tbl>
      <w:tblPr>
        <w:tblStyle w:val="TableGrid"/>
        <w:tblW w:w="0" w:type="auto"/>
        <w:tblLook w:val="04A0" w:firstRow="1" w:lastRow="0" w:firstColumn="1" w:lastColumn="0" w:noHBand="0" w:noVBand="1"/>
      </w:tblPr>
      <w:tblGrid>
        <w:gridCol w:w="9631"/>
      </w:tblGrid>
      <w:tr w:rsidR="006F4685" w14:paraId="167BF8FB" w14:textId="77777777" w:rsidTr="00806DF9">
        <w:tc>
          <w:tcPr>
            <w:tcW w:w="9631" w:type="dxa"/>
            <w:shd w:val="clear" w:color="auto" w:fill="F2F2F2" w:themeFill="background1" w:themeFillShade="F2"/>
          </w:tcPr>
          <w:p w14:paraId="0DE32845" w14:textId="77777777" w:rsidR="006F4685" w:rsidRDefault="006F4685" w:rsidP="00806DF9">
            <w:r>
              <w:t>13.</w:t>
            </w:r>
            <w:r>
              <w:tab/>
              <w:t>PHR is configured only by default MAC Cell Group configuration</w:t>
            </w:r>
          </w:p>
          <w:p w14:paraId="2C9620FB" w14:textId="7425DA33" w:rsidR="006F4685" w:rsidRDefault="006F4685" w:rsidP="00806DF9">
            <w:r>
              <w:t>14.</w:t>
            </w:r>
            <w:r>
              <w:tab/>
              <w:t>BSR is configured only by default MAC Cell Group configuration</w:t>
            </w:r>
          </w:p>
        </w:tc>
      </w:tr>
    </w:tbl>
    <w:p w14:paraId="4C70ECAE" w14:textId="77777777" w:rsidR="006F4685" w:rsidRDefault="006F4685" w:rsidP="00AF1A24"/>
    <w:p w14:paraId="2474B886" w14:textId="6B30DBE6" w:rsidR="00AF1A24" w:rsidRDefault="00BB313E" w:rsidP="00AF1A24">
      <w:r>
        <w:t>The default</w:t>
      </w:r>
      <w:r w:rsidR="00AF1A24">
        <w:t xml:space="preserve"> SRB and</w:t>
      </w:r>
      <w:r>
        <w:t xml:space="preserve"> MAC Cell Group configuration</w:t>
      </w:r>
      <w:r w:rsidR="00AF1A24">
        <w:t>s</w:t>
      </w:r>
      <w:r>
        <w:t xml:space="preserve"> </w:t>
      </w:r>
      <w:r w:rsidR="00AF1A24">
        <w:t>are</w:t>
      </w:r>
      <w:r>
        <w:t xml:space="preserve"> specified in TS 38.331</w:t>
      </w:r>
      <w:r w:rsidR="00AF1A24">
        <w:t xml:space="preserve"> (below). </w:t>
      </w:r>
    </w:p>
    <w:p w14:paraId="2F5278BC" w14:textId="2BA46E67" w:rsidR="00AF1A24" w:rsidRDefault="00AF1A24" w:rsidP="00AF1A24">
      <w:r>
        <w:t xml:space="preserve">Since only the PCell will be used for the SDT procedure, the PHR procedure can utilize the single entry PHR MAC CE format and the default configuration for the </w:t>
      </w:r>
      <w:r w:rsidRPr="00AF1A24">
        <w:rPr>
          <w:i/>
          <w:iCs/>
        </w:rPr>
        <w:t>phr-Config</w:t>
      </w:r>
      <w:r>
        <w:t xml:space="preserve"> can apply as is. </w:t>
      </w:r>
      <w:proofErr w:type="gramStart"/>
      <w:r>
        <w:t>For the</w:t>
      </w:r>
      <w:r w:rsidR="00840A73">
        <w:t xml:space="preserve"> purpose of</w:t>
      </w:r>
      <w:proofErr w:type="gramEnd"/>
      <w:r w:rsidR="00840A73">
        <w:t xml:space="preserve"> PHR during the SDT procedure, no enhancements are needed for the default configuration.</w:t>
      </w:r>
    </w:p>
    <w:p w14:paraId="5E2C360A" w14:textId="76565071" w:rsidR="00840A73" w:rsidRPr="00840A73" w:rsidRDefault="00840A73" w:rsidP="00AF1A24">
      <w:r>
        <w:rPr>
          <w:b/>
          <w:bCs/>
        </w:rPr>
        <w:t xml:space="preserve">Observation 1: </w:t>
      </w:r>
      <w:r>
        <w:t>For PHR during the SDT procedure, the current default configuration specified in TS 38.331 can be applied without changes.</w:t>
      </w:r>
    </w:p>
    <w:p w14:paraId="147DB72C" w14:textId="457EE0CA" w:rsidR="00664DCD" w:rsidRDefault="001A2188" w:rsidP="00B7538C">
      <w:r>
        <w:t>For the BSR procedure, however, defau</w:t>
      </w:r>
      <w:r w:rsidR="0040252A">
        <w:t xml:space="preserve">lt </w:t>
      </w:r>
      <w:r w:rsidR="00512C92">
        <w:t>LCG</w:t>
      </w:r>
      <w:r w:rsidR="00F8051C">
        <w:t xml:space="preserve"> configuration is only configured for SRBs</w:t>
      </w:r>
      <w:r w:rsidR="00931326">
        <w:t xml:space="preserve"> while for DRBs, no default configuration is needed in the legacy procedures.</w:t>
      </w:r>
      <w:r w:rsidR="00293E57">
        <w:t xml:space="preserve"> </w:t>
      </w:r>
      <w:r w:rsidR="002630C1">
        <w:t xml:space="preserve">Since the knowledge of neither of the LCH ID nor the priority of the LCH is required by the NW to interpret BSR, </w:t>
      </w:r>
      <w:r w:rsidR="00DF7F50">
        <w:t>this information</w:t>
      </w:r>
      <w:r w:rsidR="00A70C63">
        <w:t xml:space="preserve"> can be applied from the stored UE configuration configured by the anchor gNB</w:t>
      </w:r>
      <w:r w:rsidR="00DF7F50">
        <w:t xml:space="preserve"> by the UE</w:t>
      </w:r>
      <w:r w:rsidR="00A70C63">
        <w:t xml:space="preserve">. Hence, only thing required for the default configuration for BSR procedure in case of SDT is the default LCG for the DRBs configured for </w:t>
      </w:r>
      <w:r w:rsidR="002318E9">
        <w:t>SDT procedure.</w:t>
      </w:r>
    </w:p>
    <w:p w14:paraId="2F827BC7" w14:textId="4827CF3F" w:rsidR="00AE1422" w:rsidRDefault="00AE1422" w:rsidP="00B7538C">
      <w:r>
        <w:t xml:space="preserve">There are basically two options to make the default LCG configuration for the SDT procedure: either the DRBs configured for SDT are also using LCG0 in which case the SDT data does not differentiate signalling and data; or the DRBs configured for SDT are using separate LCG ID from SRBS, e.g., LCG1 in which case the SDT data and signalling </w:t>
      </w:r>
      <w:r w:rsidR="00393E80">
        <w:t>can be identified by the NW from the BSR.</w:t>
      </w:r>
      <w:r w:rsidR="00F6448B">
        <w:t xml:space="preserve"> The former option could always utilize Short BSR MAC CE format while the latter option requires Long BSR MAC CE format and </w:t>
      </w:r>
      <w:r w:rsidR="00E06F60">
        <w:t xml:space="preserve">may also be truncated for padding BSR. Such behaviour </w:t>
      </w:r>
      <w:proofErr w:type="gramStart"/>
      <w:r w:rsidR="00E06F60">
        <w:t>follow</w:t>
      </w:r>
      <w:proofErr w:type="gramEnd"/>
      <w:r w:rsidR="00E06F60">
        <w:t xml:space="preserve"> the legacy principles,</w:t>
      </w:r>
      <w:r w:rsidR="002A12AB">
        <w:t xml:space="preserve"> so there should be no issues in supporting either of the options.</w:t>
      </w:r>
    </w:p>
    <w:p w14:paraId="7E69448C" w14:textId="2140E6B7" w:rsidR="002A12AB" w:rsidRDefault="002A12AB" w:rsidP="00B7538C">
      <w:r>
        <w:rPr>
          <w:b/>
          <w:bCs/>
        </w:rPr>
        <w:t xml:space="preserve">Proposal </w:t>
      </w:r>
      <w:r w:rsidR="00897C50">
        <w:rPr>
          <w:b/>
          <w:bCs/>
        </w:rPr>
        <w:t>2.</w:t>
      </w:r>
      <w:r>
        <w:rPr>
          <w:b/>
          <w:bCs/>
        </w:rPr>
        <w:t>1:</w:t>
      </w:r>
      <w:r>
        <w:t xml:space="preserve"> Specify one of the following options for default </w:t>
      </w:r>
      <w:r w:rsidR="00E733F6">
        <w:t>LCG configuration for DRBs configured for SDT:</w:t>
      </w:r>
    </w:p>
    <w:p w14:paraId="4760E2ED" w14:textId="603CAC74" w:rsidR="00E733F6" w:rsidRDefault="00E733F6" w:rsidP="00B7538C">
      <w:r>
        <w:tab/>
        <w:t>-</w:t>
      </w:r>
      <w:r>
        <w:tab/>
      </w:r>
      <w:r w:rsidR="00AF68D1">
        <w:t xml:space="preserve">LCG 0 is also used for DRBs configured for </w:t>
      </w:r>
      <w:proofErr w:type="gramStart"/>
      <w:r w:rsidR="00AF68D1">
        <w:t>SDT;</w:t>
      </w:r>
      <w:proofErr w:type="gramEnd"/>
    </w:p>
    <w:p w14:paraId="12B0B7C2" w14:textId="0C58FF1B" w:rsidR="00AF68D1" w:rsidRPr="002A12AB" w:rsidRDefault="002D155E" w:rsidP="00B7538C">
      <w:r>
        <w:tab/>
        <w:t>-</w:t>
      </w:r>
      <w:r>
        <w:tab/>
        <w:t>Dedicated LCG ID (e.g., LCG 1) is used for DRBs configured for SDT.</w:t>
      </w:r>
    </w:p>
    <w:tbl>
      <w:tblPr>
        <w:tblStyle w:val="TableGrid"/>
        <w:tblW w:w="0" w:type="auto"/>
        <w:tblLook w:val="04A0" w:firstRow="1" w:lastRow="0" w:firstColumn="1" w:lastColumn="0" w:noHBand="0" w:noVBand="1"/>
      </w:tblPr>
      <w:tblGrid>
        <w:gridCol w:w="9631"/>
      </w:tblGrid>
      <w:tr w:rsidR="00BB313E" w14:paraId="4B9232D1" w14:textId="77777777" w:rsidTr="00BB313E">
        <w:tc>
          <w:tcPr>
            <w:tcW w:w="9631" w:type="dxa"/>
            <w:shd w:val="clear" w:color="auto" w:fill="F2F2F2" w:themeFill="background1" w:themeFillShade="F2"/>
          </w:tcPr>
          <w:p w14:paraId="56D2C02B" w14:textId="77777777" w:rsidR="00AF1A24" w:rsidRPr="00AF1A24" w:rsidRDefault="00AF1A24" w:rsidP="00AF1A2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0" w:name="_Toc46439993"/>
            <w:bookmarkStart w:id="1" w:name="_Toc46444830"/>
            <w:bookmarkStart w:id="2" w:name="_Toc46487591"/>
            <w:bookmarkStart w:id="3" w:name="_Toc46439994"/>
            <w:bookmarkStart w:id="4" w:name="_Toc46444831"/>
            <w:bookmarkStart w:id="5" w:name="_Toc46487592"/>
            <w:r w:rsidRPr="00AF1A24">
              <w:rPr>
                <w:rFonts w:ascii="Arial" w:hAnsi="Arial"/>
                <w:sz w:val="28"/>
                <w:lang w:eastAsia="ja-JP"/>
              </w:rPr>
              <w:lastRenderedPageBreak/>
              <w:t>9.2.1</w:t>
            </w:r>
            <w:r w:rsidRPr="00AF1A24">
              <w:rPr>
                <w:rFonts w:ascii="Arial" w:hAnsi="Arial"/>
                <w:sz w:val="28"/>
                <w:lang w:eastAsia="ja-JP"/>
              </w:rPr>
              <w:tab/>
              <w:t>Default SRB configurations</w:t>
            </w:r>
            <w:bookmarkEnd w:id="0"/>
            <w:bookmarkEnd w:id="1"/>
            <w:bookmarkEnd w:id="2"/>
          </w:p>
          <w:p w14:paraId="6E230384" w14:textId="77777777" w:rsidR="00AF1A24" w:rsidRPr="00AF1A24" w:rsidRDefault="00AF1A24" w:rsidP="00AF1A24">
            <w:pPr>
              <w:overflowPunct w:val="0"/>
              <w:autoSpaceDE w:val="0"/>
              <w:autoSpaceDN w:val="0"/>
              <w:adjustRightInd w:val="0"/>
              <w:textAlignment w:val="baseline"/>
              <w:rPr>
                <w:lang w:eastAsia="ko-KR"/>
              </w:rPr>
            </w:pPr>
            <w:r w:rsidRPr="00AF1A24">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34"/>
              <w:gridCol w:w="944"/>
              <w:gridCol w:w="48"/>
              <w:gridCol w:w="992"/>
              <w:gridCol w:w="1792"/>
              <w:gridCol w:w="757"/>
            </w:tblGrid>
            <w:tr w:rsidR="00AF1A24" w:rsidRPr="00AF1A24" w14:paraId="5614853D" w14:textId="77777777" w:rsidTr="00396B14">
              <w:trPr>
                <w:tblHeader/>
              </w:trPr>
              <w:tc>
                <w:tcPr>
                  <w:tcW w:w="2268" w:type="dxa"/>
                  <w:tcBorders>
                    <w:top w:val="single" w:sz="4" w:space="0" w:color="auto"/>
                    <w:left w:val="single" w:sz="4" w:space="0" w:color="auto"/>
                    <w:bottom w:val="single" w:sz="4" w:space="0" w:color="auto"/>
                    <w:right w:val="single" w:sz="4" w:space="0" w:color="auto"/>
                  </w:tcBorders>
                  <w:hideMark/>
                </w:tcPr>
                <w:p w14:paraId="504ACD3F"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Name</w:t>
                  </w:r>
                </w:p>
              </w:tc>
              <w:tc>
                <w:tcPr>
                  <w:tcW w:w="3118" w:type="dxa"/>
                  <w:gridSpan w:val="4"/>
                  <w:tcBorders>
                    <w:top w:val="single" w:sz="4" w:space="0" w:color="auto"/>
                    <w:left w:val="single" w:sz="4" w:space="0" w:color="auto"/>
                    <w:bottom w:val="single" w:sz="4" w:space="0" w:color="auto"/>
                    <w:right w:val="single" w:sz="4" w:space="0" w:color="auto"/>
                  </w:tcBorders>
                  <w:hideMark/>
                </w:tcPr>
                <w:p w14:paraId="60B0D21C"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7A796F69"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FB3F6EC"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r w:rsidRPr="00AF1A24">
                    <w:rPr>
                      <w:rFonts w:ascii="Arial" w:hAnsi="Arial"/>
                      <w:b/>
                      <w:sz w:val="18"/>
                      <w:lang w:eastAsia="en-GB"/>
                    </w:rPr>
                    <w:t>Ver</w:t>
                  </w:r>
                </w:p>
              </w:tc>
            </w:tr>
            <w:tr w:rsidR="00AF1A24" w:rsidRPr="00AF1A24" w14:paraId="101D3988" w14:textId="77777777" w:rsidTr="00396B14">
              <w:trPr>
                <w:tblHeader/>
              </w:trPr>
              <w:tc>
                <w:tcPr>
                  <w:tcW w:w="2268" w:type="dxa"/>
                  <w:tcBorders>
                    <w:top w:val="single" w:sz="4" w:space="0" w:color="auto"/>
                    <w:left w:val="single" w:sz="4" w:space="0" w:color="auto"/>
                    <w:bottom w:val="single" w:sz="4" w:space="0" w:color="auto"/>
                    <w:right w:val="single" w:sz="4" w:space="0" w:color="auto"/>
                  </w:tcBorders>
                </w:tcPr>
                <w:p w14:paraId="6C485644"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E225821" w14:textId="77777777" w:rsidR="00AF1A24" w:rsidRPr="00AF1A24" w:rsidRDefault="00AF1A24" w:rsidP="00AF1A24">
                  <w:pPr>
                    <w:keepNext/>
                    <w:keepLines/>
                    <w:overflowPunct w:val="0"/>
                    <w:autoSpaceDE w:val="0"/>
                    <w:autoSpaceDN w:val="0"/>
                    <w:adjustRightInd w:val="0"/>
                    <w:spacing w:after="0"/>
                    <w:jc w:val="center"/>
                    <w:textAlignment w:val="baseline"/>
                    <w:rPr>
                      <w:rFonts w:ascii="Arial" w:hAnsi="Arial"/>
                      <w:sz w:val="16"/>
                      <w:lang w:eastAsia="sv-SE"/>
                    </w:rPr>
                  </w:pPr>
                  <w:r w:rsidRPr="00AF1A24">
                    <w:rPr>
                      <w:rFonts w:ascii="Arial" w:hAnsi="Arial"/>
                      <w:sz w:val="16"/>
                      <w:lang w:eastAsia="sv-SE"/>
                    </w:rPr>
                    <w:t>SRB1</w:t>
                  </w:r>
                </w:p>
              </w:tc>
              <w:tc>
                <w:tcPr>
                  <w:tcW w:w="992" w:type="dxa"/>
                  <w:gridSpan w:val="2"/>
                  <w:tcBorders>
                    <w:top w:val="single" w:sz="4" w:space="0" w:color="auto"/>
                    <w:left w:val="single" w:sz="4" w:space="0" w:color="auto"/>
                    <w:bottom w:val="single" w:sz="4" w:space="0" w:color="auto"/>
                    <w:right w:val="single" w:sz="4" w:space="0" w:color="auto"/>
                  </w:tcBorders>
                  <w:hideMark/>
                </w:tcPr>
                <w:p w14:paraId="769BB357" w14:textId="77777777" w:rsidR="00AF1A24" w:rsidRPr="00AF1A24" w:rsidRDefault="00AF1A24" w:rsidP="00AF1A24">
                  <w:pPr>
                    <w:keepNext/>
                    <w:keepLines/>
                    <w:overflowPunct w:val="0"/>
                    <w:autoSpaceDE w:val="0"/>
                    <w:autoSpaceDN w:val="0"/>
                    <w:adjustRightInd w:val="0"/>
                    <w:spacing w:after="0"/>
                    <w:jc w:val="center"/>
                    <w:textAlignment w:val="baseline"/>
                    <w:rPr>
                      <w:rFonts w:ascii="Arial" w:hAnsi="Arial"/>
                      <w:sz w:val="16"/>
                      <w:lang w:eastAsia="sv-SE"/>
                    </w:rPr>
                  </w:pPr>
                  <w:r w:rsidRPr="00AF1A24">
                    <w:rPr>
                      <w:rFonts w:ascii="Arial" w:hAnsi="Arial"/>
                      <w:sz w:val="16"/>
                      <w:lang w:eastAsia="sv-SE"/>
                    </w:rPr>
                    <w:t>SRB2</w:t>
                  </w:r>
                </w:p>
              </w:tc>
              <w:tc>
                <w:tcPr>
                  <w:tcW w:w="992" w:type="dxa"/>
                  <w:tcBorders>
                    <w:top w:val="single" w:sz="4" w:space="0" w:color="auto"/>
                    <w:left w:val="single" w:sz="4" w:space="0" w:color="auto"/>
                    <w:bottom w:val="single" w:sz="4" w:space="0" w:color="auto"/>
                    <w:right w:val="single" w:sz="4" w:space="0" w:color="auto"/>
                  </w:tcBorders>
                  <w:hideMark/>
                </w:tcPr>
                <w:p w14:paraId="4E3C0A23" w14:textId="77777777" w:rsidR="00AF1A24" w:rsidRPr="00AF1A24" w:rsidRDefault="00AF1A24" w:rsidP="00AF1A24">
                  <w:pPr>
                    <w:keepNext/>
                    <w:keepLines/>
                    <w:overflowPunct w:val="0"/>
                    <w:autoSpaceDE w:val="0"/>
                    <w:autoSpaceDN w:val="0"/>
                    <w:adjustRightInd w:val="0"/>
                    <w:spacing w:after="0"/>
                    <w:jc w:val="center"/>
                    <w:textAlignment w:val="baseline"/>
                    <w:rPr>
                      <w:rFonts w:ascii="Arial" w:hAnsi="Arial"/>
                      <w:sz w:val="16"/>
                      <w:lang w:eastAsia="sv-SE"/>
                    </w:rPr>
                  </w:pPr>
                  <w:r w:rsidRPr="00AF1A24">
                    <w:rPr>
                      <w:rFonts w:ascii="Arial" w:hAnsi="Arial"/>
                      <w:sz w:val="16"/>
                      <w:lang w:eastAsia="sv-SE"/>
                    </w:rPr>
                    <w:t>SRB3</w:t>
                  </w:r>
                </w:p>
              </w:tc>
              <w:tc>
                <w:tcPr>
                  <w:tcW w:w="1792" w:type="dxa"/>
                  <w:tcBorders>
                    <w:top w:val="single" w:sz="4" w:space="0" w:color="auto"/>
                    <w:left w:val="single" w:sz="4" w:space="0" w:color="auto"/>
                    <w:bottom w:val="single" w:sz="4" w:space="0" w:color="auto"/>
                    <w:right w:val="single" w:sz="4" w:space="0" w:color="auto"/>
                  </w:tcBorders>
                </w:tcPr>
                <w:p w14:paraId="705DD287"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5A6281DF" w14:textId="77777777" w:rsidR="00AF1A24" w:rsidRPr="00AF1A24" w:rsidRDefault="00AF1A24" w:rsidP="00AF1A24">
                  <w:pPr>
                    <w:overflowPunct w:val="0"/>
                    <w:autoSpaceDE w:val="0"/>
                    <w:autoSpaceDN w:val="0"/>
                    <w:adjustRightInd w:val="0"/>
                    <w:spacing w:after="0"/>
                    <w:jc w:val="center"/>
                    <w:textAlignment w:val="baseline"/>
                    <w:rPr>
                      <w:rFonts w:ascii="Arial" w:hAnsi="Arial"/>
                      <w:b/>
                      <w:sz w:val="18"/>
                      <w:lang w:eastAsia="en-GB"/>
                    </w:rPr>
                  </w:pPr>
                </w:p>
              </w:tc>
            </w:tr>
            <w:tr w:rsidR="00AF1A24" w:rsidRPr="00AF1A24" w14:paraId="281FADFE" w14:textId="77777777" w:rsidTr="00396B14">
              <w:trPr>
                <w:tblHeader/>
              </w:trPr>
              <w:tc>
                <w:tcPr>
                  <w:tcW w:w="2268" w:type="dxa"/>
                  <w:tcBorders>
                    <w:top w:val="single" w:sz="4" w:space="0" w:color="auto"/>
                    <w:left w:val="single" w:sz="4" w:space="0" w:color="auto"/>
                    <w:bottom w:val="single" w:sz="4" w:space="0" w:color="auto"/>
                    <w:right w:val="single" w:sz="4" w:space="0" w:color="auto"/>
                  </w:tcBorders>
                  <w:hideMark/>
                </w:tcPr>
                <w:p w14:paraId="4C34D100"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r w:rsidRPr="00AF1A24">
                    <w:rPr>
                      <w:rFonts w:ascii="Arial" w:hAnsi="Arial"/>
                      <w:i/>
                      <w:sz w:val="18"/>
                      <w:lang w:eastAsia="sv-SE"/>
                    </w:rPr>
                    <w:t>PDCP-Config</w:t>
                  </w:r>
                </w:p>
                <w:p w14:paraId="2142C87D"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r w:rsidRPr="00AF1A24">
                    <w:rPr>
                      <w:rFonts w:ascii="Arial" w:hAnsi="Arial"/>
                      <w:i/>
                      <w:sz w:val="18"/>
                      <w:lang w:eastAsia="sv-SE"/>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1A1234EF"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p>
                <w:p w14:paraId="47858047"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infinity</w:t>
                  </w:r>
                </w:p>
              </w:tc>
              <w:tc>
                <w:tcPr>
                  <w:tcW w:w="1792" w:type="dxa"/>
                  <w:tcBorders>
                    <w:top w:val="single" w:sz="4" w:space="0" w:color="auto"/>
                    <w:left w:val="single" w:sz="4" w:space="0" w:color="auto"/>
                    <w:bottom w:val="single" w:sz="4" w:space="0" w:color="auto"/>
                    <w:right w:val="single" w:sz="4" w:space="0" w:color="auto"/>
                  </w:tcBorders>
                </w:tcPr>
                <w:p w14:paraId="6796FA42"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p>
              </w:tc>
              <w:tc>
                <w:tcPr>
                  <w:tcW w:w="757" w:type="dxa"/>
                  <w:tcBorders>
                    <w:top w:val="single" w:sz="4" w:space="0" w:color="auto"/>
                    <w:left w:val="single" w:sz="4" w:space="0" w:color="auto"/>
                    <w:bottom w:val="single" w:sz="4" w:space="0" w:color="auto"/>
                    <w:right w:val="single" w:sz="4" w:space="0" w:color="auto"/>
                  </w:tcBorders>
                </w:tcPr>
                <w:p w14:paraId="260BA758"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sv-SE"/>
                    </w:rPr>
                  </w:pPr>
                </w:p>
              </w:tc>
            </w:tr>
            <w:tr w:rsidR="00AF1A24" w:rsidRPr="00AF1A24" w14:paraId="02D9741B"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6262A6A3"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i/>
                      <w:sz w:val="18"/>
                      <w:lang w:eastAsia="en-GB"/>
                    </w:rPr>
                    <w:t>RLC-Config</w:t>
                  </w:r>
                  <w:r w:rsidRPr="00AF1A24">
                    <w:rPr>
                      <w:rFonts w:ascii="Arial" w:hAnsi="Arial"/>
                      <w:sz w:val="18"/>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7D9FB25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7289F930"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229A631"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2175EC50"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6B47DC2A"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ul-RLC-Config</w:t>
                  </w:r>
                </w:p>
                <w:p w14:paraId="3ED6257B"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&gt;sn-FieldLength</w:t>
                  </w:r>
                </w:p>
                <w:p w14:paraId="3868B195"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&gt;t-PollRetransmit</w:t>
                  </w:r>
                </w:p>
                <w:p w14:paraId="23716910"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&gt;pollPDU</w:t>
                  </w:r>
                </w:p>
                <w:p w14:paraId="50D84CAC"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&gt;pollByte</w:t>
                  </w:r>
                </w:p>
                <w:p w14:paraId="150255BA"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159F81F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p w14:paraId="234A69FB"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size12</w:t>
                  </w:r>
                </w:p>
                <w:p w14:paraId="78D075F5"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ms45</w:t>
                  </w:r>
                </w:p>
                <w:p w14:paraId="704A258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infinity</w:t>
                  </w:r>
                </w:p>
                <w:p w14:paraId="678F5B47"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infinity</w:t>
                  </w:r>
                </w:p>
                <w:p w14:paraId="01AD908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en-GB"/>
                    </w:rPr>
                    <w:t>t</w:t>
                  </w:r>
                  <w:r w:rsidRPr="00AF1A24">
                    <w:rPr>
                      <w:rFonts w:ascii="Arial" w:hAnsi="Arial"/>
                      <w:sz w:val="18"/>
                      <w:lang w:eastAsia="sv-SE"/>
                    </w:rPr>
                    <w:t>8</w:t>
                  </w:r>
                </w:p>
              </w:tc>
              <w:tc>
                <w:tcPr>
                  <w:tcW w:w="1792" w:type="dxa"/>
                  <w:tcBorders>
                    <w:top w:val="single" w:sz="4" w:space="0" w:color="auto"/>
                    <w:left w:val="single" w:sz="4" w:space="0" w:color="auto"/>
                    <w:bottom w:val="single" w:sz="4" w:space="0" w:color="auto"/>
                    <w:right w:val="single" w:sz="4" w:space="0" w:color="auto"/>
                  </w:tcBorders>
                </w:tcPr>
                <w:p w14:paraId="7A8E6DC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5171463"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00A881DD"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43F78471"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dl-RLC-Config</w:t>
                  </w:r>
                </w:p>
                <w:p w14:paraId="09A0B28E"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&gt;sn-FieldLength</w:t>
                  </w:r>
                </w:p>
                <w:p w14:paraId="74EE9A58"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&gt;t-Reassembly</w:t>
                  </w:r>
                </w:p>
                <w:p w14:paraId="00A41AFB"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32ABD026"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p w14:paraId="045D07CB"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size12</w:t>
                  </w:r>
                </w:p>
                <w:p w14:paraId="0000A864"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ms</w:t>
                  </w:r>
                  <w:r w:rsidRPr="00AF1A24">
                    <w:rPr>
                      <w:rFonts w:ascii="Arial" w:eastAsia="Yu Mincho" w:hAnsi="Arial"/>
                      <w:sz w:val="18"/>
                      <w:lang w:eastAsia="sv-SE"/>
                    </w:rPr>
                    <w:t>35</w:t>
                  </w:r>
                </w:p>
                <w:p w14:paraId="3448B18C"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63D0264E"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35A778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035DBC1D"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5B8AAC83"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sv-SE"/>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72090464"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1</w:t>
                  </w:r>
                </w:p>
              </w:tc>
              <w:tc>
                <w:tcPr>
                  <w:tcW w:w="944" w:type="dxa"/>
                  <w:tcBorders>
                    <w:top w:val="single" w:sz="4" w:space="0" w:color="auto"/>
                    <w:left w:val="single" w:sz="4" w:space="0" w:color="auto"/>
                    <w:bottom w:val="single" w:sz="4" w:space="0" w:color="auto"/>
                    <w:right w:val="single" w:sz="4" w:space="0" w:color="auto"/>
                  </w:tcBorders>
                  <w:hideMark/>
                </w:tcPr>
                <w:p w14:paraId="5EFA5DB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2</w:t>
                  </w:r>
                </w:p>
              </w:tc>
              <w:tc>
                <w:tcPr>
                  <w:tcW w:w="1040" w:type="dxa"/>
                  <w:gridSpan w:val="2"/>
                  <w:tcBorders>
                    <w:top w:val="single" w:sz="4" w:space="0" w:color="auto"/>
                    <w:left w:val="single" w:sz="4" w:space="0" w:color="auto"/>
                    <w:bottom w:val="single" w:sz="4" w:space="0" w:color="auto"/>
                    <w:right w:val="single" w:sz="4" w:space="0" w:color="auto"/>
                  </w:tcBorders>
                  <w:hideMark/>
                </w:tcPr>
                <w:p w14:paraId="45EA638A"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3</w:t>
                  </w:r>
                </w:p>
              </w:tc>
              <w:tc>
                <w:tcPr>
                  <w:tcW w:w="1792" w:type="dxa"/>
                  <w:tcBorders>
                    <w:top w:val="single" w:sz="4" w:space="0" w:color="auto"/>
                    <w:left w:val="single" w:sz="4" w:space="0" w:color="auto"/>
                    <w:bottom w:val="single" w:sz="4" w:space="0" w:color="auto"/>
                    <w:right w:val="single" w:sz="4" w:space="0" w:color="auto"/>
                  </w:tcBorders>
                </w:tcPr>
                <w:p w14:paraId="4BF97D1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D410B5D"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1C8E8BC2"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3E066965"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17061EC3"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tcPr>
                <w:p w14:paraId="60D6D4DD"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CB0FAB4"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164F4665"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23944614"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0A513460"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1</w:t>
                  </w:r>
                </w:p>
              </w:tc>
              <w:tc>
                <w:tcPr>
                  <w:tcW w:w="944" w:type="dxa"/>
                  <w:tcBorders>
                    <w:top w:val="single" w:sz="4" w:space="0" w:color="auto"/>
                    <w:left w:val="single" w:sz="4" w:space="0" w:color="auto"/>
                    <w:bottom w:val="single" w:sz="4" w:space="0" w:color="auto"/>
                    <w:right w:val="single" w:sz="4" w:space="0" w:color="auto"/>
                  </w:tcBorders>
                  <w:hideMark/>
                </w:tcPr>
                <w:p w14:paraId="685308CF"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3</w:t>
                  </w:r>
                </w:p>
              </w:tc>
              <w:tc>
                <w:tcPr>
                  <w:tcW w:w="1040" w:type="dxa"/>
                  <w:gridSpan w:val="2"/>
                  <w:tcBorders>
                    <w:top w:val="single" w:sz="4" w:space="0" w:color="auto"/>
                    <w:left w:val="single" w:sz="4" w:space="0" w:color="auto"/>
                    <w:bottom w:val="single" w:sz="4" w:space="0" w:color="auto"/>
                    <w:right w:val="single" w:sz="4" w:space="0" w:color="auto"/>
                  </w:tcBorders>
                  <w:hideMark/>
                </w:tcPr>
                <w:p w14:paraId="5485E76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sv-SE"/>
                    </w:rPr>
                  </w:pPr>
                  <w:r w:rsidRPr="00AF1A24">
                    <w:rPr>
                      <w:rFonts w:ascii="Arial" w:hAnsi="Arial"/>
                      <w:sz w:val="18"/>
                      <w:lang w:eastAsia="sv-SE"/>
                    </w:rPr>
                    <w:t>1</w:t>
                  </w:r>
                </w:p>
              </w:tc>
              <w:tc>
                <w:tcPr>
                  <w:tcW w:w="1792" w:type="dxa"/>
                  <w:tcBorders>
                    <w:top w:val="single" w:sz="4" w:space="0" w:color="auto"/>
                    <w:left w:val="single" w:sz="4" w:space="0" w:color="auto"/>
                    <w:bottom w:val="single" w:sz="4" w:space="0" w:color="auto"/>
                    <w:right w:val="single" w:sz="4" w:space="0" w:color="auto"/>
                  </w:tcBorders>
                  <w:hideMark/>
                </w:tcPr>
                <w:p w14:paraId="300B6470" w14:textId="77777777" w:rsidR="00AF1A24" w:rsidRPr="00AF1A24" w:rsidRDefault="00AF1A24" w:rsidP="00AF1A24">
                  <w:pPr>
                    <w:overflowPunct w:val="0"/>
                    <w:autoSpaceDE w:val="0"/>
                    <w:autoSpaceDN w:val="0"/>
                    <w:adjustRightInd w:val="0"/>
                    <w:textAlignment w:val="baseline"/>
                    <w:rPr>
                      <w:lang w:eastAsia="sv-SE"/>
                    </w:rPr>
                  </w:pPr>
                </w:p>
              </w:tc>
              <w:tc>
                <w:tcPr>
                  <w:tcW w:w="757" w:type="dxa"/>
                  <w:tcBorders>
                    <w:top w:val="single" w:sz="4" w:space="0" w:color="auto"/>
                    <w:left w:val="single" w:sz="4" w:space="0" w:color="auto"/>
                    <w:bottom w:val="single" w:sz="4" w:space="0" w:color="auto"/>
                    <w:right w:val="single" w:sz="4" w:space="0" w:color="auto"/>
                  </w:tcBorders>
                </w:tcPr>
                <w:p w14:paraId="4018E67E"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57E7FE28"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7A4C4344"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5ABD78D8"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31D1DB19"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5ACF25BF"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r w:rsidR="00AF1A24" w:rsidRPr="00AF1A24" w14:paraId="250653DB" w14:textId="77777777" w:rsidTr="00396B14">
              <w:tc>
                <w:tcPr>
                  <w:tcW w:w="2268" w:type="dxa"/>
                  <w:tcBorders>
                    <w:top w:val="single" w:sz="4" w:space="0" w:color="auto"/>
                    <w:left w:val="single" w:sz="4" w:space="0" w:color="auto"/>
                    <w:bottom w:val="single" w:sz="4" w:space="0" w:color="auto"/>
                    <w:right w:val="single" w:sz="4" w:space="0" w:color="auto"/>
                  </w:tcBorders>
                  <w:hideMark/>
                </w:tcPr>
                <w:p w14:paraId="7A0E2257" w14:textId="77777777" w:rsidR="00AF1A24" w:rsidRPr="00AF1A24" w:rsidRDefault="00AF1A24" w:rsidP="00AF1A24">
                  <w:pPr>
                    <w:keepNext/>
                    <w:keepLines/>
                    <w:overflowPunct w:val="0"/>
                    <w:autoSpaceDE w:val="0"/>
                    <w:autoSpaceDN w:val="0"/>
                    <w:adjustRightInd w:val="0"/>
                    <w:spacing w:after="0"/>
                    <w:textAlignment w:val="baseline"/>
                    <w:rPr>
                      <w:rFonts w:ascii="Arial" w:hAnsi="Arial"/>
                      <w:i/>
                      <w:sz w:val="18"/>
                      <w:lang w:eastAsia="en-GB"/>
                    </w:rPr>
                  </w:pPr>
                  <w:r w:rsidRPr="00AF1A24">
                    <w:rPr>
                      <w:rFonts w:ascii="Arial" w:hAnsi="Arial"/>
                      <w:i/>
                      <w:sz w:val="18"/>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0B484D55"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r w:rsidRPr="00AF1A24">
                    <w:rPr>
                      <w:rFonts w:ascii="Arial" w:hAnsi="Arial"/>
                      <w:sz w:val="18"/>
                      <w:lang w:eastAsia="en-GB"/>
                    </w:rPr>
                    <w:t>0</w:t>
                  </w:r>
                </w:p>
              </w:tc>
              <w:tc>
                <w:tcPr>
                  <w:tcW w:w="1792" w:type="dxa"/>
                  <w:tcBorders>
                    <w:top w:val="single" w:sz="4" w:space="0" w:color="auto"/>
                    <w:left w:val="single" w:sz="4" w:space="0" w:color="auto"/>
                    <w:bottom w:val="single" w:sz="4" w:space="0" w:color="auto"/>
                    <w:right w:val="single" w:sz="4" w:space="0" w:color="auto"/>
                  </w:tcBorders>
                </w:tcPr>
                <w:p w14:paraId="6FCB74BE"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B4A8612" w14:textId="77777777" w:rsidR="00AF1A24" w:rsidRPr="00AF1A24" w:rsidRDefault="00AF1A24" w:rsidP="00AF1A24">
                  <w:pPr>
                    <w:keepNext/>
                    <w:keepLines/>
                    <w:overflowPunct w:val="0"/>
                    <w:autoSpaceDE w:val="0"/>
                    <w:autoSpaceDN w:val="0"/>
                    <w:adjustRightInd w:val="0"/>
                    <w:spacing w:after="0"/>
                    <w:textAlignment w:val="baseline"/>
                    <w:rPr>
                      <w:rFonts w:ascii="Arial" w:hAnsi="Arial"/>
                      <w:sz w:val="18"/>
                      <w:lang w:eastAsia="en-GB"/>
                    </w:rPr>
                  </w:pPr>
                </w:p>
              </w:tc>
            </w:tr>
          </w:tbl>
          <w:p w14:paraId="7ECBC103" w14:textId="77777777" w:rsidR="00AF1A24" w:rsidRPr="00AF1A24" w:rsidRDefault="00AF1A24" w:rsidP="00AF1A24">
            <w:pPr>
              <w:overflowPunct w:val="0"/>
              <w:autoSpaceDE w:val="0"/>
              <w:autoSpaceDN w:val="0"/>
              <w:adjustRightInd w:val="0"/>
              <w:textAlignment w:val="baseline"/>
              <w:rPr>
                <w:lang w:eastAsia="ja-JP"/>
              </w:rPr>
            </w:pPr>
          </w:p>
          <w:p w14:paraId="3F8AAE4C" w14:textId="77777777" w:rsidR="00BB313E" w:rsidRPr="00BB313E" w:rsidRDefault="00BB313E" w:rsidP="00BB313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BB313E">
              <w:rPr>
                <w:rFonts w:ascii="Arial" w:hAnsi="Arial"/>
                <w:sz w:val="28"/>
                <w:lang w:eastAsia="ja-JP"/>
              </w:rPr>
              <w:t>9.2.2</w:t>
            </w:r>
            <w:r w:rsidRPr="00BB313E">
              <w:rPr>
                <w:rFonts w:ascii="Arial" w:hAnsi="Arial"/>
                <w:sz w:val="28"/>
                <w:lang w:eastAsia="ja-JP"/>
              </w:rPr>
              <w:tab/>
              <w:t>Default MAC Cell Group configuration</w:t>
            </w:r>
            <w:bookmarkEnd w:id="3"/>
            <w:bookmarkEnd w:id="4"/>
            <w:bookmarkEnd w:id="5"/>
          </w:p>
          <w:p w14:paraId="464D8266" w14:textId="77777777" w:rsidR="00BB313E" w:rsidRPr="00BB313E" w:rsidRDefault="00BB313E" w:rsidP="00BB313E">
            <w:pPr>
              <w:overflowPunct w:val="0"/>
              <w:autoSpaceDE w:val="0"/>
              <w:autoSpaceDN w:val="0"/>
              <w:adjustRightInd w:val="0"/>
              <w:textAlignment w:val="baseline"/>
              <w:rPr>
                <w:rFonts w:eastAsia="SimSun"/>
                <w:lang w:eastAsia="ko-KR"/>
              </w:rPr>
            </w:pPr>
            <w:r w:rsidRPr="00BB313E">
              <w:rPr>
                <w:rFonts w:eastAsia="SimSun"/>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417"/>
              <w:gridCol w:w="2551"/>
              <w:gridCol w:w="708"/>
            </w:tblGrid>
            <w:tr w:rsidR="00BB313E" w:rsidRPr="00BB313E" w14:paraId="6E03D9FD" w14:textId="77777777" w:rsidTr="00396B14">
              <w:trPr>
                <w:tblHeader/>
              </w:trPr>
              <w:tc>
                <w:tcPr>
                  <w:tcW w:w="3260" w:type="dxa"/>
                  <w:tcBorders>
                    <w:top w:val="single" w:sz="4" w:space="0" w:color="auto"/>
                    <w:left w:val="single" w:sz="4" w:space="0" w:color="auto"/>
                    <w:bottom w:val="single" w:sz="4" w:space="0" w:color="auto"/>
                    <w:right w:val="single" w:sz="4" w:space="0" w:color="auto"/>
                  </w:tcBorders>
                  <w:hideMark/>
                </w:tcPr>
                <w:p w14:paraId="26904AB0"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088E0E4B"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4CC70A3E"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AE0D2CE" w14:textId="77777777" w:rsidR="00BB313E" w:rsidRPr="00BB313E" w:rsidRDefault="00BB313E" w:rsidP="00BB313E">
                  <w:pPr>
                    <w:overflowPunct w:val="0"/>
                    <w:autoSpaceDE w:val="0"/>
                    <w:autoSpaceDN w:val="0"/>
                    <w:adjustRightInd w:val="0"/>
                    <w:spacing w:after="0"/>
                    <w:jc w:val="center"/>
                    <w:textAlignment w:val="baseline"/>
                    <w:rPr>
                      <w:rFonts w:ascii="Arial" w:hAnsi="Arial"/>
                      <w:b/>
                      <w:sz w:val="18"/>
                      <w:lang w:eastAsia="en-GB"/>
                    </w:rPr>
                  </w:pPr>
                  <w:r w:rsidRPr="00BB313E">
                    <w:rPr>
                      <w:rFonts w:ascii="Arial" w:hAnsi="Arial"/>
                      <w:b/>
                      <w:sz w:val="18"/>
                      <w:lang w:eastAsia="en-GB"/>
                    </w:rPr>
                    <w:t>Ver</w:t>
                  </w:r>
                </w:p>
              </w:tc>
            </w:tr>
            <w:tr w:rsidR="00BB313E" w:rsidRPr="00BB313E" w14:paraId="5A03E13E"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24CE9EBF"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r w:rsidRPr="00BB313E">
                    <w:rPr>
                      <w:rFonts w:ascii="Arial" w:hAnsi="Arial"/>
                      <w:sz w:val="18"/>
                      <w:lang w:eastAsia="en-GB"/>
                    </w:rPr>
                    <w:t xml:space="preserve">MAC </w:t>
                  </w:r>
                  <w:r w:rsidRPr="00BB313E">
                    <w:rPr>
                      <w:rFonts w:ascii="Arial" w:hAnsi="Arial"/>
                      <w:sz w:val="18"/>
                      <w:lang w:eastAsia="sv-SE"/>
                    </w:rPr>
                    <w:t>Cell Group</w:t>
                  </w:r>
                  <w:r w:rsidRPr="00BB313E">
                    <w:rPr>
                      <w:rFonts w:ascii="Arial" w:hAnsi="Arial"/>
                      <w:sz w:val="18"/>
                      <w:lang w:eastAsia="en-GB"/>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5ACC527"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701432BF"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1EBB176"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4763F92A"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61E4FE82"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en-GB"/>
                    </w:rPr>
                    <w:t>bsr-Config</w:t>
                  </w:r>
                </w:p>
              </w:tc>
              <w:tc>
                <w:tcPr>
                  <w:tcW w:w="1418" w:type="dxa"/>
                  <w:tcBorders>
                    <w:top w:val="single" w:sz="4" w:space="0" w:color="auto"/>
                    <w:left w:val="single" w:sz="4" w:space="0" w:color="auto"/>
                    <w:bottom w:val="single" w:sz="4" w:space="0" w:color="auto"/>
                    <w:right w:val="single" w:sz="4" w:space="0" w:color="auto"/>
                  </w:tcBorders>
                </w:tcPr>
                <w:p w14:paraId="2904AC27"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334D0F5D"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E53294B"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476C4C05"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615A8EB5"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sv-SE"/>
                    </w:rPr>
                    <w:t>&gt;</w:t>
                  </w:r>
                  <w:r w:rsidRPr="00BB313E">
                    <w:rPr>
                      <w:rFonts w:ascii="Arial" w:hAnsi="Arial"/>
                      <w:i/>
                      <w:sz w:val="18"/>
                      <w:lang w:eastAsia="en-GB"/>
                    </w:rPr>
                    <w:t>periodicBSR-Timer</w:t>
                  </w:r>
                </w:p>
              </w:tc>
              <w:tc>
                <w:tcPr>
                  <w:tcW w:w="1418" w:type="dxa"/>
                  <w:tcBorders>
                    <w:top w:val="single" w:sz="4" w:space="0" w:color="auto"/>
                    <w:left w:val="single" w:sz="4" w:space="0" w:color="auto"/>
                    <w:bottom w:val="single" w:sz="4" w:space="0" w:color="auto"/>
                    <w:right w:val="single" w:sz="4" w:space="0" w:color="auto"/>
                  </w:tcBorders>
                  <w:hideMark/>
                </w:tcPr>
                <w:p w14:paraId="6A219669"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en-GB"/>
                    </w:rPr>
                    <w:t>sf10</w:t>
                  </w:r>
                </w:p>
              </w:tc>
              <w:tc>
                <w:tcPr>
                  <w:tcW w:w="2552" w:type="dxa"/>
                  <w:tcBorders>
                    <w:top w:val="single" w:sz="4" w:space="0" w:color="auto"/>
                    <w:left w:val="single" w:sz="4" w:space="0" w:color="auto"/>
                    <w:bottom w:val="single" w:sz="4" w:space="0" w:color="auto"/>
                    <w:right w:val="single" w:sz="4" w:space="0" w:color="auto"/>
                  </w:tcBorders>
                </w:tcPr>
                <w:p w14:paraId="2594202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EA12745"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7B2C029E"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20AD405F"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sv-SE"/>
                    </w:rPr>
                    <w:t>&gt;</w:t>
                  </w:r>
                  <w:r w:rsidRPr="00BB313E">
                    <w:rPr>
                      <w:rFonts w:ascii="Arial" w:hAnsi="Arial"/>
                      <w:i/>
                      <w:sz w:val="18"/>
                      <w:lang w:eastAsia="en-GB"/>
                    </w:rPr>
                    <w:t>retxBSR-Timer</w:t>
                  </w:r>
                </w:p>
              </w:tc>
              <w:tc>
                <w:tcPr>
                  <w:tcW w:w="1418" w:type="dxa"/>
                  <w:tcBorders>
                    <w:top w:val="single" w:sz="4" w:space="0" w:color="auto"/>
                    <w:left w:val="single" w:sz="4" w:space="0" w:color="auto"/>
                    <w:bottom w:val="single" w:sz="4" w:space="0" w:color="auto"/>
                    <w:right w:val="single" w:sz="4" w:space="0" w:color="auto"/>
                  </w:tcBorders>
                  <w:hideMark/>
                </w:tcPr>
                <w:p w14:paraId="318B4D36"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481DDC25"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C9354E1"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79D8CFE4"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626D6128"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en-GB"/>
                    </w:rPr>
                    <w:t>phr-Config</w:t>
                  </w:r>
                </w:p>
              </w:tc>
              <w:tc>
                <w:tcPr>
                  <w:tcW w:w="1418" w:type="dxa"/>
                  <w:tcBorders>
                    <w:top w:val="single" w:sz="4" w:space="0" w:color="auto"/>
                    <w:left w:val="single" w:sz="4" w:space="0" w:color="auto"/>
                    <w:bottom w:val="single" w:sz="4" w:space="0" w:color="auto"/>
                    <w:right w:val="single" w:sz="4" w:space="0" w:color="auto"/>
                  </w:tcBorders>
                </w:tcPr>
                <w:p w14:paraId="19351BD1"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2578E41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9D20A1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33FDDFFD"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0DAC53FE"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en-GB"/>
                    </w:rPr>
                  </w:pPr>
                  <w:r w:rsidRPr="00BB313E">
                    <w:rPr>
                      <w:rFonts w:ascii="Arial" w:hAnsi="Arial"/>
                      <w:i/>
                      <w:sz w:val="18"/>
                      <w:lang w:eastAsia="sv-SE"/>
                    </w:rPr>
                    <w:t>&gt;phr-PeriodicTimer</w:t>
                  </w:r>
                </w:p>
              </w:tc>
              <w:tc>
                <w:tcPr>
                  <w:tcW w:w="1418" w:type="dxa"/>
                  <w:tcBorders>
                    <w:top w:val="single" w:sz="4" w:space="0" w:color="auto"/>
                    <w:left w:val="single" w:sz="4" w:space="0" w:color="auto"/>
                    <w:bottom w:val="single" w:sz="4" w:space="0" w:color="auto"/>
                    <w:right w:val="single" w:sz="4" w:space="0" w:color="auto"/>
                  </w:tcBorders>
                  <w:hideMark/>
                </w:tcPr>
                <w:p w14:paraId="271EFBFC"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en-GB"/>
                    </w:rPr>
                    <w:t>sf</w:t>
                  </w:r>
                  <w:r w:rsidRPr="00BB313E">
                    <w:rPr>
                      <w:rFonts w:ascii="Arial"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6AB5BBAD"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8EDC07A"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5EC4DCAC"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2D86B451"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sv-SE"/>
                    </w:rPr>
                  </w:pPr>
                  <w:r w:rsidRPr="00BB313E">
                    <w:rPr>
                      <w:rFonts w:ascii="Arial" w:hAnsi="Arial"/>
                      <w:i/>
                      <w:sz w:val="18"/>
                      <w:lang w:eastAsia="sv-SE"/>
                    </w:rPr>
                    <w:t>&gt;phr-ProhibitTimer</w:t>
                  </w:r>
                </w:p>
              </w:tc>
              <w:tc>
                <w:tcPr>
                  <w:tcW w:w="1418" w:type="dxa"/>
                  <w:tcBorders>
                    <w:top w:val="single" w:sz="4" w:space="0" w:color="auto"/>
                    <w:left w:val="single" w:sz="4" w:space="0" w:color="auto"/>
                    <w:bottom w:val="single" w:sz="4" w:space="0" w:color="auto"/>
                    <w:right w:val="single" w:sz="4" w:space="0" w:color="auto"/>
                  </w:tcBorders>
                  <w:hideMark/>
                </w:tcPr>
                <w:p w14:paraId="23C0653D"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sv-SE"/>
                    </w:rPr>
                  </w:pPr>
                  <w:r w:rsidRPr="00BB313E">
                    <w:rPr>
                      <w:rFonts w:ascii="Arial" w:hAnsi="Arial"/>
                      <w:sz w:val="18"/>
                      <w:lang w:eastAsia="en-GB"/>
                    </w:rPr>
                    <w:t>sf</w:t>
                  </w:r>
                  <w:r w:rsidRPr="00BB313E">
                    <w:rPr>
                      <w:rFonts w:ascii="Arial"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26F89886"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A000B79"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r w:rsidR="00BB313E" w:rsidRPr="00BB313E" w14:paraId="53F8E379" w14:textId="77777777" w:rsidTr="00396B14">
              <w:tc>
                <w:tcPr>
                  <w:tcW w:w="3260" w:type="dxa"/>
                  <w:tcBorders>
                    <w:top w:val="single" w:sz="4" w:space="0" w:color="auto"/>
                    <w:left w:val="single" w:sz="4" w:space="0" w:color="auto"/>
                    <w:bottom w:val="single" w:sz="4" w:space="0" w:color="auto"/>
                    <w:right w:val="single" w:sz="4" w:space="0" w:color="auto"/>
                  </w:tcBorders>
                  <w:hideMark/>
                </w:tcPr>
                <w:p w14:paraId="4152A9C5" w14:textId="77777777" w:rsidR="00BB313E" w:rsidRPr="00BB313E" w:rsidRDefault="00BB313E" w:rsidP="00BB313E">
                  <w:pPr>
                    <w:keepNext/>
                    <w:keepLines/>
                    <w:overflowPunct w:val="0"/>
                    <w:autoSpaceDE w:val="0"/>
                    <w:autoSpaceDN w:val="0"/>
                    <w:adjustRightInd w:val="0"/>
                    <w:spacing w:after="0"/>
                    <w:textAlignment w:val="baseline"/>
                    <w:rPr>
                      <w:rFonts w:ascii="Arial" w:hAnsi="Arial"/>
                      <w:i/>
                      <w:sz w:val="18"/>
                      <w:lang w:eastAsia="sv-SE"/>
                    </w:rPr>
                  </w:pPr>
                  <w:r w:rsidRPr="00BB313E">
                    <w:rPr>
                      <w:rFonts w:ascii="Arial" w:hAnsi="Arial"/>
                      <w:i/>
                      <w:sz w:val="18"/>
                      <w:lang w:eastAsia="sv-SE"/>
                    </w:rPr>
                    <w:t xml:space="preserve">&gt;phr-Tx-PowerFactorChange </w:t>
                  </w:r>
                </w:p>
              </w:tc>
              <w:tc>
                <w:tcPr>
                  <w:tcW w:w="1418" w:type="dxa"/>
                  <w:tcBorders>
                    <w:top w:val="single" w:sz="4" w:space="0" w:color="auto"/>
                    <w:left w:val="single" w:sz="4" w:space="0" w:color="auto"/>
                    <w:bottom w:val="single" w:sz="4" w:space="0" w:color="auto"/>
                    <w:right w:val="single" w:sz="4" w:space="0" w:color="auto"/>
                  </w:tcBorders>
                  <w:hideMark/>
                </w:tcPr>
                <w:p w14:paraId="1B47CB00"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r w:rsidRPr="00BB313E">
                    <w:rPr>
                      <w:rFonts w:ascii="Arial" w:hAnsi="Arial"/>
                      <w:sz w:val="18"/>
                      <w:lang w:eastAsia="en-GB"/>
                    </w:rPr>
                    <w:t>dB1</w:t>
                  </w:r>
                </w:p>
              </w:tc>
              <w:tc>
                <w:tcPr>
                  <w:tcW w:w="2552" w:type="dxa"/>
                  <w:tcBorders>
                    <w:top w:val="single" w:sz="4" w:space="0" w:color="auto"/>
                    <w:left w:val="single" w:sz="4" w:space="0" w:color="auto"/>
                    <w:bottom w:val="single" w:sz="4" w:space="0" w:color="auto"/>
                    <w:right w:val="single" w:sz="4" w:space="0" w:color="auto"/>
                  </w:tcBorders>
                </w:tcPr>
                <w:p w14:paraId="2C439013"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6FAF0E9" w14:textId="77777777" w:rsidR="00BB313E" w:rsidRPr="00BB313E" w:rsidRDefault="00BB313E" w:rsidP="00BB313E">
                  <w:pPr>
                    <w:keepNext/>
                    <w:keepLines/>
                    <w:overflowPunct w:val="0"/>
                    <w:autoSpaceDE w:val="0"/>
                    <w:autoSpaceDN w:val="0"/>
                    <w:adjustRightInd w:val="0"/>
                    <w:spacing w:after="0"/>
                    <w:textAlignment w:val="baseline"/>
                    <w:rPr>
                      <w:rFonts w:ascii="Arial" w:hAnsi="Arial"/>
                      <w:sz w:val="18"/>
                      <w:lang w:eastAsia="en-GB"/>
                    </w:rPr>
                  </w:pPr>
                </w:p>
              </w:tc>
            </w:tr>
          </w:tbl>
          <w:p w14:paraId="4C2BE8E3" w14:textId="77777777" w:rsidR="00BB313E" w:rsidRDefault="00BB313E" w:rsidP="00B7538C"/>
        </w:tc>
      </w:tr>
    </w:tbl>
    <w:p w14:paraId="24B77C52" w14:textId="50CC5269" w:rsidR="00BB313E" w:rsidRDefault="00BB313E" w:rsidP="00B7538C"/>
    <w:p w14:paraId="1471D3C2" w14:textId="53511328" w:rsidR="00D212BB" w:rsidRDefault="00D212BB" w:rsidP="00D212BB">
      <w:pPr>
        <w:pStyle w:val="Heading2"/>
      </w:pPr>
      <w:r>
        <w:t>2.</w:t>
      </w:r>
      <w:r w:rsidR="00E9491C">
        <w:t>2</w:t>
      </w:r>
      <w:r>
        <w:tab/>
      </w:r>
      <w:r w:rsidR="00B269B9">
        <w:t>LCH restrictions</w:t>
      </w:r>
    </w:p>
    <w:p w14:paraId="0CEAEBEA" w14:textId="4CAEA4E7" w:rsidR="006F4685" w:rsidRDefault="006F4685" w:rsidP="006F4685">
      <w:r>
        <w:t>The previous meeting RAN2#116-e reached the following agreement:</w:t>
      </w:r>
    </w:p>
    <w:tbl>
      <w:tblPr>
        <w:tblStyle w:val="TableGrid"/>
        <w:tblW w:w="0" w:type="auto"/>
        <w:tblLook w:val="04A0" w:firstRow="1" w:lastRow="0" w:firstColumn="1" w:lastColumn="0" w:noHBand="0" w:noVBand="1"/>
      </w:tblPr>
      <w:tblGrid>
        <w:gridCol w:w="9631"/>
      </w:tblGrid>
      <w:tr w:rsidR="006F4685" w14:paraId="4AB6EDE2" w14:textId="77777777" w:rsidTr="00806DF9">
        <w:tc>
          <w:tcPr>
            <w:tcW w:w="9631" w:type="dxa"/>
            <w:shd w:val="clear" w:color="auto" w:fill="F2F2F2" w:themeFill="background1" w:themeFillShade="F2"/>
          </w:tcPr>
          <w:p w14:paraId="4B670851" w14:textId="2585462F" w:rsidR="006F4685" w:rsidRDefault="006F4685" w:rsidP="00806DF9">
            <w:r>
              <w:t>17.</w:t>
            </w:r>
            <w:r>
              <w:tab/>
              <w:t xml:space="preserve">If LCH restriction is applied for SDT, it is applied both for CG-SDT and RA-SDT.  </w:t>
            </w:r>
          </w:p>
        </w:tc>
      </w:tr>
    </w:tbl>
    <w:p w14:paraId="720F54B0" w14:textId="77777777" w:rsidR="006F4685" w:rsidRDefault="006F4685" w:rsidP="00D212BB"/>
    <w:p w14:paraId="0496E2F7" w14:textId="66D0C480" w:rsidR="000357A2" w:rsidRDefault="000357A2" w:rsidP="00D212BB">
      <w:r>
        <w:t xml:space="preserve">The usage of LCH restrictions could be applied, e.g., in case the NW intends certain DRB(s)/LCH(s) to only utilize the configured CG SDT resources. When the SDT is initiated given data availability in these certain DRB(s) and all other conditions are fulfilled, the procedure goes smoothly until data appears on any of the SDT DRB(s) not allowed to access the configured CG SDT resources. In this case, the SDT DRBs not allowed for the current CG SDT resources are </w:t>
      </w:r>
      <w:proofErr w:type="gramStart"/>
      <w:r>
        <w:t>similar to</w:t>
      </w:r>
      <w:proofErr w:type="gramEnd"/>
      <w:r>
        <w:t xml:space="preserve"> non-SDT DRBs given they cannot be transmitted using the resources available for the CG SDT procedure.</w:t>
      </w:r>
      <w:r w:rsidR="005A392D">
        <w:t xml:space="preserve"> Hence, they should be considered as non-SDT DRBs for the duration of the current SDT procedure.</w:t>
      </w:r>
    </w:p>
    <w:p w14:paraId="3380CBB1" w14:textId="0CFC035C" w:rsidR="000357A2" w:rsidRDefault="000357A2" w:rsidP="00D212BB">
      <w:r>
        <w:rPr>
          <w:b/>
          <w:bCs/>
        </w:rPr>
        <w:t xml:space="preserve">Proposal </w:t>
      </w:r>
      <w:r w:rsidR="00897C50">
        <w:rPr>
          <w:b/>
          <w:bCs/>
        </w:rPr>
        <w:t>2.</w:t>
      </w:r>
      <w:r w:rsidR="00E9491C">
        <w:rPr>
          <w:b/>
          <w:bCs/>
        </w:rPr>
        <w:t>2</w:t>
      </w:r>
      <w:r>
        <w:rPr>
          <w:b/>
          <w:bCs/>
        </w:rPr>
        <w:t xml:space="preserve">: </w:t>
      </w:r>
      <w:r w:rsidRPr="00E9491C">
        <w:t>SDT DRBs that cannot be multiplexed on SDT resources available in the</w:t>
      </w:r>
      <w:r w:rsidR="005A392D" w:rsidRPr="00E9491C">
        <w:t xml:space="preserve"> current</w:t>
      </w:r>
      <w:r w:rsidRPr="00E9491C">
        <w:t xml:space="preserve"> SDT procedure due to LCH restrictions should be considered as non-SDT DRBs</w:t>
      </w:r>
      <w:r w:rsidR="005A392D" w:rsidRPr="00E9491C">
        <w:t xml:space="preserve"> for the duration of the SDT procedure</w:t>
      </w:r>
      <w:r w:rsidRPr="00E9491C">
        <w:t>.</w:t>
      </w:r>
    </w:p>
    <w:p w14:paraId="75F6B621" w14:textId="159EEF36" w:rsidR="00E9491C" w:rsidRDefault="00E9491C" w:rsidP="00E9491C">
      <w:pPr>
        <w:pStyle w:val="Heading2"/>
      </w:pPr>
      <w:r w:rsidRPr="00892162">
        <w:t>2.3</w:t>
      </w:r>
      <w:r w:rsidRPr="00892162">
        <w:tab/>
      </w:r>
      <w:r w:rsidRPr="00892162">
        <w:rPr>
          <w:i/>
          <w:iCs/>
        </w:rPr>
        <w:t>logicalChannelSR-DelayTimer</w:t>
      </w:r>
      <w:r w:rsidR="006B30C9" w:rsidRPr="00892162">
        <w:t xml:space="preserve"> </w:t>
      </w:r>
      <w:r w:rsidR="00892162">
        <w:t xml:space="preserve">and </w:t>
      </w:r>
      <w:r w:rsidR="00F9200C" w:rsidRPr="00F9200C">
        <w:rPr>
          <w:i/>
          <w:iCs/>
        </w:rPr>
        <w:t>logicalChannelSR-Mask</w:t>
      </w:r>
    </w:p>
    <w:p w14:paraId="7D83B00E" w14:textId="19B3B347" w:rsidR="00F9200C" w:rsidRDefault="003773AD" w:rsidP="00077DA6">
      <w:r>
        <w:t>The previous meeting RAN2#116Bis-e reached the following agreement:</w:t>
      </w:r>
    </w:p>
    <w:tbl>
      <w:tblPr>
        <w:tblStyle w:val="TableGrid"/>
        <w:tblW w:w="0" w:type="auto"/>
        <w:tblLook w:val="04A0" w:firstRow="1" w:lastRow="0" w:firstColumn="1" w:lastColumn="0" w:noHBand="0" w:noVBand="1"/>
      </w:tblPr>
      <w:tblGrid>
        <w:gridCol w:w="9631"/>
      </w:tblGrid>
      <w:tr w:rsidR="003773AD" w14:paraId="5DB78E64" w14:textId="77777777" w:rsidTr="003773AD">
        <w:tc>
          <w:tcPr>
            <w:tcW w:w="9631" w:type="dxa"/>
            <w:shd w:val="clear" w:color="auto" w:fill="F2F2F2" w:themeFill="background1" w:themeFillShade="F2"/>
          </w:tcPr>
          <w:p w14:paraId="7425804A" w14:textId="1B7AA0AA" w:rsidR="003773AD" w:rsidRDefault="003773AD" w:rsidP="00077DA6">
            <w:r w:rsidRPr="003773AD">
              <w:lastRenderedPageBreak/>
              <w:t>11.</w:t>
            </w:r>
            <w:r w:rsidRPr="003773AD">
              <w:tab/>
              <w:t>The logicalChannelSR-DelayTimer is supported and configurable by SIB.  All logical channels configured with SDT are configured with a same timer value.  The logicalChannelSR-Mask is supported.</w:t>
            </w:r>
          </w:p>
        </w:tc>
      </w:tr>
    </w:tbl>
    <w:p w14:paraId="1DF16F81" w14:textId="67BD6554" w:rsidR="003773AD" w:rsidRDefault="003773AD" w:rsidP="00077DA6"/>
    <w:p w14:paraId="67E53F8C" w14:textId="3A754D72" w:rsidR="00E83948" w:rsidRDefault="00E83948" w:rsidP="00077DA6">
      <w:r>
        <w:t xml:space="preserve">Currently, the </w:t>
      </w:r>
      <w:r w:rsidRPr="00E83948">
        <w:rPr>
          <w:i/>
          <w:iCs/>
        </w:rPr>
        <w:t>logicalChannelSR-DelayTimer</w:t>
      </w:r>
      <w:r>
        <w:t xml:space="preserve"> applicability is configured per LCH. For SDT, however, if the NW configures the </w:t>
      </w:r>
      <w:r w:rsidRPr="00E83948">
        <w:rPr>
          <w:i/>
          <w:iCs/>
        </w:rPr>
        <w:t>logicalChannelSR-DelayTimer</w:t>
      </w:r>
      <w:r w:rsidR="00990E62">
        <w:rPr>
          <w:i/>
          <w:iCs/>
        </w:rPr>
        <w:t xml:space="preserve">, </w:t>
      </w:r>
      <w:r w:rsidR="00990E62">
        <w:t>it seems simplest it is also applied for all the LCHs configured for SDT.</w:t>
      </w:r>
    </w:p>
    <w:p w14:paraId="4128DA51" w14:textId="2C58564E" w:rsidR="00460360" w:rsidRPr="00460360" w:rsidRDefault="00460360" w:rsidP="00077DA6">
      <w:bookmarkStart w:id="6" w:name="_Hlk95726042"/>
      <w:r>
        <w:rPr>
          <w:b/>
          <w:bCs/>
        </w:rPr>
        <w:t xml:space="preserve">Proposal 2.3: </w:t>
      </w:r>
      <w:r w:rsidRPr="00460360">
        <w:rPr>
          <w:i/>
          <w:iCs/>
        </w:rPr>
        <w:t>logicalChannelSR-DelayTimer</w:t>
      </w:r>
      <w:r>
        <w:t>, if configured, is applied for all the LCHs configured for SDT during the SDT procedure.</w:t>
      </w:r>
    </w:p>
    <w:bookmarkEnd w:id="6"/>
    <w:p w14:paraId="3534E214" w14:textId="16C38725" w:rsidR="00077DA6" w:rsidRDefault="00C970B3" w:rsidP="006B30C9">
      <w:r>
        <w:t xml:space="preserve">In the previous meeting, the intention for not supporting </w:t>
      </w:r>
      <w:r w:rsidRPr="00C970B3">
        <w:rPr>
          <w:i/>
          <w:iCs/>
        </w:rPr>
        <w:t>logicalChannelSR-Mask</w:t>
      </w:r>
      <w:r>
        <w:t xml:space="preserve"> </w:t>
      </w:r>
      <w:r w:rsidR="00462A25">
        <w:t xml:space="preserve">by the companies was that no feature to selectively make LCH to trigger SR while CG-SDT resources are configured is needed. However, </w:t>
      </w:r>
      <w:r w:rsidR="00885D76" w:rsidRPr="00885D76">
        <w:rPr>
          <w:i/>
          <w:iCs/>
        </w:rPr>
        <w:t>logicalChannelSR-Mask</w:t>
      </w:r>
      <w:r w:rsidR="00885D76">
        <w:t xml:space="preserve"> is applied such that while it is set to </w:t>
      </w:r>
      <w:r w:rsidR="00885D76">
        <w:rPr>
          <w:i/>
          <w:iCs/>
        </w:rPr>
        <w:t>true</w:t>
      </w:r>
      <w:r w:rsidR="00885D76">
        <w:t xml:space="preserve">, the SR is not triggered – which was the intended behaviour. This can be clarified, e.g., in RRC specification field description that during the SDT procedure the </w:t>
      </w:r>
      <w:r w:rsidR="00885D76" w:rsidRPr="00885D76">
        <w:rPr>
          <w:i/>
          <w:iCs/>
        </w:rPr>
        <w:t>logicalChannelSR-Mask</w:t>
      </w:r>
      <w:r w:rsidR="00885D76">
        <w:t xml:space="preserve"> for all the LCHs configured for SDT is </w:t>
      </w:r>
      <w:r w:rsidR="00B117A5">
        <w:t xml:space="preserve">set to value </w:t>
      </w:r>
      <w:r w:rsidR="00B117A5" w:rsidRPr="00B117A5">
        <w:rPr>
          <w:i/>
          <w:iCs/>
        </w:rPr>
        <w:t>true</w:t>
      </w:r>
      <w:r w:rsidR="00B117A5">
        <w:t>.</w:t>
      </w:r>
    </w:p>
    <w:p w14:paraId="4D9C65BA" w14:textId="3A07ECCB" w:rsidR="00B117A5" w:rsidRPr="00B117A5" w:rsidRDefault="00B117A5" w:rsidP="00B117A5">
      <w:r>
        <w:rPr>
          <w:b/>
          <w:bCs/>
        </w:rPr>
        <w:t xml:space="preserve">Proposal 2.4: </w:t>
      </w:r>
      <w:r>
        <w:t xml:space="preserve">Clarify in TS 38.331 field description for </w:t>
      </w:r>
      <w:r w:rsidRPr="00885D76">
        <w:rPr>
          <w:i/>
          <w:iCs/>
        </w:rPr>
        <w:t>logicalChannelSR-Mask</w:t>
      </w:r>
      <w:r>
        <w:t xml:space="preserve"> that it is set to value </w:t>
      </w:r>
      <w:r>
        <w:rPr>
          <w:i/>
          <w:iCs/>
        </w:rPr>
        <w:t xml:space="preserve">true </w:t>
      </w:r>
      <w:r>
        <w:t>for all the LCHs configured for SDT.</w:t>
      </w:r>
    </w:p>
    <w:p w14:paraId="48456FC7" w14:textId="1C355884" w:rsidR="00FB6366" w:rsidRDefault="00FB6366" w:rsidP="00FB6366">
      <w:pPr>
        <w:pStyle w:val="Heading1"/>
      </w:pPr>
      <w:r>
        <w:t>3</w:t>
      </w:r>
      <w:r>
        <w:tab/>
        <w:t>CG-SDT related aspects</w:t>
      </w:r>
    </w:p>
    <w:p w14:paraId="605699D3" w14:textId="3059801B" w:rsidR="00DB6F17" w:rsidRDefault="00DB6F17" w:rsidP="00DB6F17">
      <w:pPr>
        <w:pStyle w:val="Heading2"/>
        <w:rPr>
          <w:rFonts w:eastAsia="SimSun"/>
        </w:rPr>
      </w:pPr>
      <w:r>
        <w:rPr>
          <w:rFonts w:eastAsia="SimSun"/>
          <w:i/>
          <w:color w:val="44546A" w:themeColor="text2"/>
          <w:sz w:val="18"/>
          <w:szCs w:val="18"/>
        </w:rPr>
        <w:fldChar w:fldCharType="begin"/>
      </w:r>
      <w:r>
        <w:rPr>
          <w:rFonts w:eastAsia="SimSun"/>
        </w:rPr>
        <w:instrText>SEQ Figure \* ARABIC</w:instrText>
      </w:r>
      <w:r>
        <w:rPr>
          <w:rFonts w:eastAsia="SimSun"/>
          <w:i/>
          <w:color w:val="44546A" w:themeColor="text2"/>
          <w:sz w:val="18"/>
          <w:szCs w:val="18"/>
        </w:rPr>
        <w:fldChar w:fldCharType="end"/>
      </w:r>
      <w:r>
        <w:rPr>
          <w:rFonts w:eastAsia="SimSun"/>
        </w:rPr>
        <w:t>3.1</w:t>
      </w:r>
      <w:r>
        <w:rPr>
          <w:rFonts w:eastAsia="SimSun"/>
        </w:rPr>
        <w:tab/>
        <w:t xml:space="preserve">Beam evaluation during subsequent transmission </w:t>
      </w:r>
    </w:p>
    <w:p w14:paraId="75582EAF" w14:textId="77777777" w:rsidR="00DB6F17" w:rsidRDefault="00DB6F17" w:rsidP="00DB6F17">
      <w:pPr>
        <w:jc w:val="both"/>
        <w:rPr>
          <w:rFonts w:eastAsia="SimSun"/>
        </w:rPr>
      </w:pPr>
      <w:r>
        <w:t>Regarding to this agreement and FFS on beam evaluation for subsequent transmissions from the previous RAN2 meeting, we believe beam evaluation requirements should be defined in RAN4, not necessarily for every CG occasions. When there is no sample in the CG occasion, obviously previous evaluation result still applies.</w:t>
      </w:r>
    </w:p>
    <w:tbl>
      <w:tblPr>
        <w:tblStyle w:val="TableGrid"/>
        <w:tblW w:w="0" w:type="auto"/>
        <w:tblLook w:val="04A0" w:firstRow="1" w:lastRow="0" w:firstColumn="1" w:lastColumn="0" w:noHBand="0" w:noVBand="1"/>
      </w:tblPr>
      <w:tblGrid>
        <w:gridCol w:w="9631"/>
      </w:tblGrid>
      <w:tr w:rsidR="00DB6F17" w14:paraId="54C86871" w14:textId="77777777" w:rsidTr="00DB6F17">
        <w:tc>
          <w:tcPr>
            <w:tcW w:w="9631" w:type="dxa"/>
            <w:tcBorders>
              <w:top w:val="single" w:sz="4" w:space="0" w:color="auto"/>
              <w:left w:val="single" w:sz="4" w:space="0" w:color="auto"/>
              <w:bottom w:val="single" w:sz="4" w:space="0" w:color="auto"/>
              <w:right w:val="single" w:sz="4" w:space="0" w:color="auto"/>
            </w:tcBorders>
            <w:hideMark/>
          </w:tcPr>
          <w:p w14:paraId="5303D327" w14:textId="77777777" w:rsidR="00DB6F17" w:rsidRDefault="00DB6F17">
            <w:pPr>
              <w:pStyle w:val="Doc-text2"/>
              <w:ind w:left="363"/>
            </w:pPr>
            <w:r>
              <w:t>7. During the subsequent new CG transmission phase, for the purpose of CG resource selection, UE re-evaluates the SSB for subsequent CG transmission.  FFS what happens if no SSBs are valid or if no sample is available</w:t>
            </w:r>
          </w:p>
        </w:tc>
      </w:tr>
    </w:tbl>
    <w:p w14:paraId="275B98C2" w14:textId="4C7926CB" w:rsidR="00DB6F17" w:rsidRDefault="00DB6F17" w:rsidP="00DB6F17">
      <w:pPr>
        <w:jc w:val="both"/>
      </w:pPr>
      <w:r>
        <w:rPr>
          <w:b/>
          <w:bCs/>
        </w:rPr>
        <w:t xml:space="preserve">Proposal </w:t>
      </w:r>
      <w:r w:rsidR="00CA1839">
        <w:rPr>
          <w:b/>
          <w:bCs/>
        </w:rPr>
        <w:t>3.</w:t>
      </w:r>
      <w:r>
        <w:rPr>
          <w:b/>
          <w:bCs/>
        </w:rPr>
        <w:t>1</w:t>
      </w:r>
      <w:r>
        <w:t xml:space="preserve">: The UE performs beam evaluation according to RAN4 requirement, </w:t>
      </w:r>
      <w:proofErr w:type="gramStart"/>
      <w:r>
        <w:t>i.e.</w:t>
      </w:r>
      <w:proofErr w:type="gramEnd"/>
      <w:r>
        <w:t xml:space="preserve"> not necessarily for every CG occasions.</w:t>
      </w:r>
    </w:p>
    <w:p w14:paraId="00001EED" w14:textId="6517FFCD" w:rsidR="00DB6F17" w:rsidRDefault="00DB6F17" w:rsidP="00DB6F17">
      <w:pPr>
        <w:jc w:val="both"/>
      </w:pPr>
      <w:r>
        <w:rPr>
          <w:b/>
          <w:bCs/>
        </w:rPr>
        <w:t xml:space="preserve">Proposal </w:t>
      </w:r>
      <w:r w:rsidR="00CA1839">
        <w:rPr>
          <w:b/>
          <w:bCs/>
        </w:rPr>
        <w:t>3.</w:t>
      </w:r>
      <w:r>
        <w:rPr>
          <w:b/>
          <w:bCs/>
        </w:rPr>
        <w:t>2</w:t>
      </w:r>
      <w:r>
        <w:t>: When there is no sample in the CG occasion, previous evaluation result applies.</w:t>
      </w:r>
    </w:p>
    <w:p w14:paraId="1FAF1269" w14:textId="77777777" w:rsidR="00DB6F17" w:rsidRDefault="00DB6F17" w:rsidP="00DB6F17">
      <w:pPr>
        <w:jc w:val="both"/>
      </w:pPr>
      <w:r>
        <w:t xml:space="preserve">Several beams need to be configured to consider UE mobility during the INACTIVE mode. While after the SDT is initiated, most likely the UE will stick to the initial selected beam considering the short period of the SDT procedure. When the UE </w:t>
      </w:r>
      <w:proofErr w:type="gramStart"/>
      <w:r>
        <w:t>is allowed to</w:t>
      </w:r>
      <w:proofErr w:type="gramEnd"/>
      <w:r>
        <w:t xml:space="preserve"> change the beam used for subsequent CG transmissions, the CG resources are not optimally utilized because the CG resources mapped to the beam(s) other than the serving beam the UE selected upon initiation of the SDT transmission cannot be used for other UEs. It would be beneficial to allow NW configurability whether to allow UE autonomous beam switching and leave the beam management to NW control. </w:t>
      </w:r>
    </w:p>
    <w:p w14:paraId="1A621559" w14:textId="18C59E76" w:rsidR="00DB6F17" w:rsidRDefault="00DB6F17" w:rsidP="00DB6F17">
      <w:pPr>
        <w:jc w:val="both"/>
      </w:pPr>
      <w:r>
        <w:rPr>
          <w:b/>
          <w:bCs/>
        </w:rPr>
        <w:t xml:space="preserve">Proposal </w:t>
      </w:r>
      <w:r w:rsidR="00CF5BE3">
        <w:rPr>
          <w:b/>
          <w:bCs/>
        </w:rPr>
        <w:t>3.</w:t>
      </w:r>
      <w:r>
        <w:rPr>
          <w:b/>
          <w:bCs/>
        </w:rPr>
        <w:t>3:</w:t>
      </w:r>
      <w:r>
        <w:t xml:space="preserve"> It is configurable by the NW whether UE autonomous beam switching is allowed.</w:t>
      </w:r>
    </w:p>
    <w:p w14:paraId="3FD9B85F" w14:textId="77777777" w:rsidR="00DB6F17" w:rsidRDefault="00DB6F17" w:rsidP="00DB6F17">
      <w:pPr>
        <w:jc w:val="both"/>
      </w:pPr>
      <w:r>
        <w:t xml:space="preserve">Besides, even though we allow UE autonomous switching to other valid beams, the UE should stick to current beam as much as possible when the beam used for previous transmission is still valid, since the NW would be sending DL response via the beam it has received UL transmission. In other words, if multiple beams are valid, the UE should stick to one beam other than alternating between them. While if previous beam becomes invalid and there is another valid beam for CG-SDT resource, the UE can switch to that beam for PUSCH transmission and switching DL monitoring accordingly.  </w:t>
      </w:r>
    </w:p>
    <w:p w14:paraId="1E82E177" w14:textId="55E3835E" w:rsidR="00DB6F17" w:rsidRDefault="00DB6F17" w:rsidP="00DB6F17">
      <w:pPr>
        <w:jc w:val="both"/>
      </w:pPr>
      <w:r>
        <w:rPr>
          <w:b/>
          <w:bCs/>
        </w:rPr>
        <w:t xml:space="preserve">Proposal </w:t>
      </w:r>
      <w:r w:rsidR="00CF5BE3">
        <w:rPr>
          <w:b/>
          <w:bCs/>
        </w:rPr>
        <w:t>3.</w:t>
      </w:r>
      <w:r>
        <w:rPr>
          <w:b/>
          <w:bCs/>
        </w:rPr>
        <w:t>4</w:t>
      </w:r>
      <w:r>
        <w:t>: The UE should not unnecessarily change beams when the current beam is still valid.</w:t>
      </w:r>
    </w:p>
    <w:p w14:paraId="1E105A9D" w14:textId="42D2D5DD" w:rsidR="00DB6F17" w:rsidRDefault="00DB6F17" w:rsidP="00DB6F17">
      <w:pPr>
        <w:jc w:val="both"/>
      </w:pPr>
      <w:r>
        <w:rPr>
          <w:b/>
          <w:bCs/>
        </w:rPr>
        <w:t xml:space="preserve">Proposal </w:t>
      </w:r>
      <w:r w:rsidR="00CF5BE3">
        <w:rPr>
          <w:b/>
          <w:bCs/>
        </w:rPr>
        <w:t>3.</w:t>
      </w:r>
      <w:r>
        <w:rPr>
          <w:b/>
          <w:bCs/>
        </w:rPr>
        <w:t>5</w:t>
      </w:r>
      <w:r>
        <w:t>: When SSB for CG-SDT is switched, the UE switches beam for DL monitoring accordingly.</w:t>
      </w:r>
    </w:p>
    <w:p w14:paraId="2330A3F0" w14:textId="20FF86BC" w:rsidR="00216DDE" w:rsidRDefault="00216DDE" w:rsidP="00216DDE">
      <w:pPr>
        <w:pStyle w:val="Heading2"/>
        <w:rPr>
          <w:rFonts w:eastAsia="SimSun"/>
        </w:rPr>
      </w:pPr>
      <w:r>
        <w:rPr>
          <w:rFonts w:eastAsia="SimSun"/>
          <w:i/>
          <w:color w:val="44546A" w:themeColor="text2"/>
          <w:sz w:val="18"/>
          <w:szCs w:val="18"/>
        </w:rPr>
        <w:fldChar w:fldCharType="begin"/>
      </w:r>
      <w:r>
        <w:rPr>
          <w:rFonts w:eastAsia="SimSun"/>
        </w:rPr>
        <w:instrText>SEQ Figure \* ARABIC</w:instrText>
      </w:r>
      <w:r>
        <w:rPr>
          <w:rFonts w:eastAsia="SimSun"/>
          <w:i/>
          <w:color w:val="44546A" w:themeColor="text2"/>
          <w:sz w:val="18"/>
          <w:szCs w:val="18"/>
        </w:rPr>
        <w:fldChar w:fldCharType="end"/>
      </w:r>
      <w:r>
        <w:rPr>
          <w:rFonts w:eastAsia="SimSun"/>
        </w:rPr>
        <w:t>3.2</w:t>
      </w:r>
      <w:r>
        <w:rPr>
          <w:rFonts w:eastAsia="SimSun"/>
        </w:rPr>
        <w:tab/>
        <w:t>TAT maintenance</w:t>
      </w:r>
    </w:p>
    <w:p w14:paraId="1C0DF5AC" w14:textId="77777777" w:rsidR="00216DDE" w:rsidRDefault="00216DDE" w:rsidP="00216DDE">
      <w:pPr>
        <w:rPr>
          <w:rFonts w:eastAsia="SimSun"/>
        </w:rPr>
      </w:pPr>
      <w:r>
        <w:t>How to maintain the legacy TAT and CG-SDT-TAT has been discussed in the email discussion [3] with diverged views on what the timers are used for. We believe the CG-SDT-TAT should only be used for the purpose of CG-SDT resource management and checked for initial transmission phase of SDT procedure to validate if CG-SDT can be used. After receiving network response for the initial transmission, TA should be under NW control like legacy CONNECTED mode with only legacy TAT.</w:t>
      </w:r>
    </w:p>
    <w:p w14:paraId="5E9685E6" w14:textId="04565649" w:rsidR="00216DDE" w:rsidRDefault="00216DDE" w:rsidP="00216DDE">
      <w:r>
        <w:rPr>
          <w:b/>
          <w:bCs/>
        </w:rPr>
        <w:lastRenderedPageBreak/>
        <w:t xml:space="preserve">Proposal </w:t>
      </w:r>
      <w:r w:rsidR="00CF5BE3">
        <w:rPr>
          <w:b/>
          <w:bCs/>
        </w:rPr>
        <w:t>3.</w:t>
      </w:r>
      <w:r>
        <w:rPr>
          <w:b/>
          <w:bCs/>
        </w:rPr>
        <w:t>6</w:t>
      </w:r>
      <w:r>
        <w:t xml:space="preserve">: CG-SDT-TAT is only used for the purpose of CG-SDT resource management and checked for initial transmission phase of SDT procedure to validate if CG-SDT can be used. </w:t>
      </w:r>
    </w:p>
    <w:p w14:paraId="4F9BAE28" w14:textId="54C80F0A" w:rsidR="00216DDE" w:rsidRDefault="00216DDE" w:rsidP="00216DDE">
      <w:r>
        <w:rPr>
          <w:b/>
          <w:bCs/>
        </w:rPr>
        <w:t xml:space="preserve">Proposal </w:t>
      </w:r>
      <w:r w:rsidR="00CF5BE3">
        <w:rPr>
          <w:b/>
          <w:bCs/>
        </w:rPr>
        <w:t>3.</w:t>
      </w:r>
      <w:r>
        <w:rPr>
          <w:b/>
          <w:bCs/>
        </w:rPr>
        <w:t>7:</w:t>
      </w:r>
      <w:r>
        <w:t xml:space="preserve"> After receiving network response for the initial transmission, TA should be under NW control like legacy CONNECTED mode with legacy TAT only.</w:t>
      </w:r>
    </w:p>
    <w:p w14:paraId="03856164" w14:textId="7ABBA7F0" w:rsidR="00CF5BE3" w:rsidRDefault="00CF5BE3" w:rsidP="00CF5BE3">
      <w:pPr>
        <w:pStyle w:val="Heading2"/>
        <w:rPr>
          <w:rFonts w:eastAsia="SimSun"/>
        </w:rPr>
      </w:pPr>
      <w:r>
        <w:rPr>
          <w:rFonts w:eastAsia="SimSun"/>
          <w:i/>
          <w:color w:val="445369"/>
          <w:sz w:val="18"/>
          <w:szCs w:val="18"/>
        </w:rPr>
        <w:fldChar w:fldCharType="begin"/>
      </w:r>
      <w:r>
        <w:rPr>
          <w:rFonts w:eastAsia="SimSun"/>
        </w:rPr>
        <w:instrText>SEQ Figure \* ARABIC</w:instrText>
      </w:r>
      <w:r>
        <w:rPr>
          <w:rFonts w:eastAsia="SimSun"/>
          <w:i/>
          <w:color w:val="445369"/>
          <w:sz w:val="18"/>
          <w:szCs w:val="18"/>
        </w:rPr>
        <w:fldChar w:fldCharType="end"/>
      </w:r>
      <w:bookmarkStart w:id="7" w:name="_Hlk47532824"/>
      <w:r>
        <w:rPr>
          <w:rFonts w:eastAsia="SimSun"/>
        </w:rPr>
        <w:t>3.3</w:t>
      </w:r>
      <w:r>
        <w:rPr>
          <w:rFonts w:eastAsia="SimSun"/>
        </w:rPr>
        <w:tab/>
        <w:t>CG configuration request</w:t>
      </w:r>
    </w:p>
    <w:p w14:paraId="2EF5FA11" w14:textId="77777777" w:rsidR="00CF5BE3" w:rsidRDefault="00CF5BE3" w:rsidP="00CF5BE3">
      <w:pPr>
        <w:jc w:val="both"/>
        <w:rPr>
          <w:rFonts w:eastAsia="SimSun"/>
        </w:rPr>
      </w:pPr>
      <w:r>
        <w:t>In the PUR design, the UE may request to be configured with a PUR or to have a PUR configuration released while in RRC_CONNECTED mode. The Network can then decide to configure a PUR that may be based on the UE's request, the UE's subscription information and/or local policy [2].</w:t>
      </w:r>
    </w:p>
    <w:p w14:paraId="2D87359E" w14:textId="77777777" w:rsidR="00CF5BE3" w:rsidRDefault="00CF5BE3" w:rsidP="00CF5BE3">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3720C744" w14:textId="63D91FE9" w:rsidR="00CF5BE3" w:rsidRDefault="00CF5BE3" w:rsidP="00CF5BE3">
      <w:pPr>
        <w:jc w:val="both"/>
      </w:pPr>
      <w:r>
        <w:rPr>
          <w:b/>
          <w:bCs/>
        </w:rPr>
        <w:t xml:space="preserve">Proposal 3.8: </w:t>
      </w:r>
      <w:r>
        <w:t>The UE should be allowed to request to the Network for a pre-configured PUSCH based SDT resource/configuration.</w:t>
      </w:r>
    </w:p>
    <w:p w14:paraId="7F893F82" w14:textId="77777777" w:rsidR="00CF5BE3" w:rsidRDefault="00CF5BE3" w:rsidP="00CF5BE3">
      <w:pPr>
        <w:jc w:val="both"/>
      </w:pPr>
      <w:r>
        <w:t>In some use cases the UE might have preferences for specific time occasions where the pre-configured PUSCH resources should occur. This can be due to the traffic characteristics of the application requiring SDT (</w:t>
      </w:r>
      <w:proofErr w:type="gramStart"/>
      <w:r>
        <w:t>e.g.</w:t>
      </w:r>
      <w:proofErr w:type="gramEnd"/>
      <w:r>
        <w:t xml:space="preserve"> an application where the traffic is generated every x seconds) or it can be due to the type of UE (e.g. a Multi-USIM device, where due to the activity of the different USIMs certain time periods are not suitable for pre-configured PUSCH based SDT). As such, the UE should be able to indicate to the network these preferences.</w:t>
      </w:r>
    </w:p>
    <w:p w14:paraId="45918E8E" w14:textId="2AF3FF67" w:rsidR="00FB6366" w:rsidRPr="00CA1839" w:rsidRDefault="00CF5BE3" w:rsidP="00CA1839">
      <w:pPr>
        <w:jc w:val="both"/>
      </w:pPr>
      <w:r>
        <w:rPr>
          <w:b/>
          <w:bCs/>
        </w:rPr>
        <w:t xml:space="preserve">Proposal 3.9: </w:t>
      </w:r>
      <w:r>
        <w:t xml:space="preserve">Specify signalling mechanisms that allow the UE to indicate to the Network its preferences </w:t>
      </w:r>
      <w:proofErr w:type="gramStart"/>
      <w:r>
        <w:t>in regard to</w:t>
      </w:r>
      <w:proofErr w:type="gramEnd"/>
      <w:r>
        <w:t xml:space="preserve"> the time occurrence of pre-configured PUSCH based SDT.</w:t>
      </w:r>
      <w:bookmarkEnd w:id="7"/>
    </w:p>
    <w:p w14:paraId="5FF2457F" w14:textId="0BE420AA" w:rsidR="00A209D6" w:rsidRPr="006E13D1" w:rsidRDefault="00FB6366" w:rsidP="00A209D6">
      <w:pPr>
        <w:pStyle w:val="Heading1"/>
      </w:pPr>
      <w:r>
        <w:t>4</w:t>
      </w:r>
      <w:r w:rsidR="00A209D6" w:rsidRPr="006E13D1">
        <w:tab/>
      </w:r>
      <w:r w:rsidR="008C3057">
        <w:t>Conclusion</w:t>
      </w:r>
    </w:p>
    <w:p w14:paraId="7C353655" w14:textId="77777777" w:rsidR="00B117A5" w:rsidRPr="00840A73" w:rsidRDefault="00B117A5" w:rsidP="00B117A5">
      <w:r>
        <w:rPr>
          <w:b/>
          <w:bCs/>
        </w:rPr>
        <w:t xml:space="preserve">Observation 1: </w:t>
      </w:r>
      <w:r>
        <w:t>For PHR during the SDT procedure, the current default configuration specified in TS 38.331 can be applied without changes.</w:t>
      </w:r>
    </w:p>
    <w:p w14:paraId="20724342" w14:textId="77777777" w:rsidR="00B117A5" w:rsidRDefault="00B117A5" w:rsidP="00B117A5">
      <w:r>
        <w:rPr>
          <w:b/>
          <w:bCs/>
        </w:rPr>
        <w:t>Proposal 2.1:</w:t>
      </w:r>
      <w:r>
        <w:t xml:space="preserve"> Specify one of the following options for default LCG configuration for DRBs configured for SDT:</w:t>
      </w:r>
    </w:p>
    <w:p w14:paraId="5A8AEF80" w14:textId="77777777" w:rsidR="00B117A5" w:rsidRDefault="00B117A5" w:rsidP="00B117A5">
      <w:r>
        <w:tab/>
        <w:t>-</w:t>
      </w:r>
      <w:r>
        <w:tab/>
        <w:t xml:space="preserve">LCG 0 is also used for DRBs configured for </w:t>
      </w:r>
      <w:proofErr w:type="gramStart"/>
      <w:r>
        <w:t>SDT;</w:t>
      </w:r>
      <w:proofErr w:type="gramEnd"/>
    </w:p>
    <w:p w14:paraId="1F12E801" w14:textId="77777777" w:rsidR="00B117A5" w:rsidRPr="002A12AB" w:rsidRDefault="00B117A5" w:rsidP="00B117A5">
      <w:r>
        <w:tab/>
        <w:t>-</w:t>
      </w:r>
      <w:r>
        <w:tab/>
        <w:t>Dedicated LCG ID (e.g., LCG 1) is used for DRBs configured for SDT.</w:t>
      </w:r>
    </w:p>
    <w:p w14:paraId="335B346C" w14:textId="77777777" w:rsidR="00B117A5" w:rsidRDefault="00B117A5" w:rsidP="00B117A5">
      <w:r>
        <w:rPr>
          <w:b/>
          <w:bCs/>
        </w:rPr>
        <w:t xml:space="preserve">Proposal 2.2: </w:t>
      </w:r>
      <w:r w:rsidRPr="00E9491C">
        <w:t>SDT DRBs that cannot be multiplexed on SDT resources available in the current SDT procedure due to LCH restrictions should be considered as non-SDT DRBs for the duration of the SDT procedure.</w:t>
      </w:r>
    </w:p>
    <w:p w14:paraId="4CF6E6B4" w14:textId="77777777" w:rsidR="00B117A5" w:rsidRPr="00460360" w:rsidRDefault="00B117A5" w:rsidP="00B117A5">
      <w:r>
        <w:rPr>
          <w:b/>
          <w:bCs/>
        </w:rPr>
        <w:t xml:space="preserve">Proposal 2.3: </w:t>
      </w:r>
      <w:r w:rsidRPr="00460360">
        <w:rPr>
          <w:i/>
          <w:iCs/>
        </w:rPr>
        <w:t>logicalChannelSR-DelayTimer</w:t>
      </w:r>
      <w:r>
        <w:t>, if configured, is applied for all the LCHs configured for SDT during the SDT procedure.</w:t>
      </w:r>
    </w:p>
    <w:p w14:paraId="36FD6E91" w14:textId="77777777" w:rsidR="00B117A5" w:rsidRPr="00B117A5" w:rsidRDefault="00B117A5" w:rsidP="00B117A5">
      <w:r>
        <w:rPr>
          <w:b/>
          <w:bCs/>
        </w:rPr>
        <w:t xml:space="preserve">Proposal 2.4: </w:t>
      </w:r>
      <w:r>
        <w:t xml:space="preserve">Clarify in TS 38.331 field description for </w:t>
      </w:r>
      <w:r w:rsidRPr="00885D76">
        <w:rPr>
          <w:i/>
          <w:iCs/>
        </w:rPr>
        <w:t>logicalChannelSR-Mask</w:t>
      </w:r>
      <w:r>
        <w:t xml:space="preserve"> that it is set to value </w:t>
      </w:r>
      <w:r>
        <w:rPr>
          <w:i/>
          <w:iCs/>
        </w:rPr>
        <w:t xml:space="preserve">true </w:t>
      </w:r>
      <w:r>
        <w:t>for all the LCHs configured for SDT.</w:t>
      </w:r>
    </w:p>
    <w:p w14:paraId="33878F16" w14:textId="77777777" w:rsidR="00B117A5" w:rsidRDefault="00B117A5" w:rsidP="00B117A5">
      <w:pPr>
        <w:jc w:val="both"/>
      </w:pPr>
      <w:r>
        <w:rPr>
          <w:b/>
          <w:bCs/>
        </w:rPr>
        <w:t>Proposal 3.1</w:t>
      </w:r>
      <w:r>
        <w:t xml:space="preserve">: The UE performs beam evaluation according to RAN4 requirement, </w:t>
      </w:r>
      <w:proofErr w:type="gramStart"/>
      <w:r>
        <w:t>i.e.</w:t>
      </w:r>
      <w:proofErr w:type="gramEnd"/>
      <w:r>
        <w:t xml:space="preserve"> not necessarily for every CG occasions.</w:t>
      </w:r>
    </w:p>
    <w:p w14:paraId="728913BC" w14:textId="77777777" w:rsidR="00B117A5" w:rsidRDefault="00B117A5" w:rsidP="00B117A5">
      <w:pPr>
        <w:jc w:val="both"/>
      </w:pPr>
      <w:r>
        <w:rPr>
          <w:b/>
          <w:bCs/>
        </w:rPr>
        <w:t>Proposal 3.2</w:t>
      </w:r>
      <w:r>
        <w:t>: When there is no sample in the CG occasion, previous evaluation result applies.</w:t>
      </w:r>
    </w:p>
    <w:p w14:paraId="0FC6FDD9" w14:textId="77777777" w:rsidR="00B117A5" w:rsidRDefault="00B117A5" w:rsidP="00B117A5">
      <w:pPr>
        <w:jc w:val="both"/>
      </w:pPr>
      <w:r>
        <w:rPr>
          <w:b/>
          <w:bCs/>
        </w:rPr>
        <w:t>Proposal 3.3:</w:t>
      </w:r>
      <w:r>
        <w:t xml:space="preserve"> It is configurable by the NW whether UE autonomous beam switching is allowed.</w:t>
      </w:r>
    </w:p>
    <w:p w14:paraId="60052CB2" w14:textId="77777777" w:rsidR="00B117A5" w:rsidRDefault="00B117A5" w:rsidP="00B117A5">
      <w:pPr>
        <w:jc w:val="both"/>
      </w:pPr>
      <w:r>
        <w:rPr>
          <w:b/>
          <w:bCs/>
        </w:rPr>
        <w:t>Proposal 3.4</w:t>
      </w:r>
      <w:r>
        <w:t>: The UE should not unnecessarily change beams when the current beam is still valid.</w:t>
      </w:r>
    </w:p>
    <w:p w14:paraId="419091B7" w14:textId="77777777" w:rsidR="00B117A5" w:rsidRDefault="00B117A5" w:rsidP="00B117A5">
      <w:pPr>
        <w:jc w:val="both"/>
      </w:pPr>
      <w:r>
        <w:rPr>
          <w:b/>
          <w:bCs/>
        </w:rPr>
        <w:t>Proposal 3.5</w:t>
      </w:r>
      <w:r>
        <w:t>: When SSB for CG-SDT is switched, the UE switches beam for DL monitoring accordingly.</w:t>
      </w:r>
    </w:p>
    <w:p w14:paraId="6232E648" w14:textId="77777777" w:rsidR="00B117A5" w:rsidRDefault="00B117A5" w:rsidP="00B117A5">
      <w:r>
        <w:rPr>
          <w:b/>
          <w:bCs/>
        </w:rPr>
        <w:t>Proposal 3.6</w:t>
      </w:r>
      <w:r>
        <w:t xml:space="preserve">: CG-SDT-TAT is only used for the purpose of CG-SDT resource management and checked for initial transmission phase of SDT procedure to validate if CG-SDT can be used. </w:t>
      </w:r>
    </w:p>
    <w:p w14:paraId="55B938F6" w14:textId="77777777" w:rsidR="00B117A5" w:rsidRDefault="00B117A5" w:rsidP="00B117A5">
      <w:r>
        <w:rPr>
          <w:b/>
          <w:bCs/>
        </w:rPr>
        <w:t>Proposal 3.7:</w:t>
      </w:r>
      <w:r>
        <w:t xml:space="preserve"> After receiving network response for the initial transmission, TA should be under NW control like legacy CONNECTED mode with legacy TAT only.</w:t>
      </w:r>
    </w:p>
    <w:p w14:paraId="3DCB2948" w14:textId="77777777" w:rsidR="00B117A5" w:rsidRDefault="00B117A5" w:rsidP="00B117A5">
      <w:pPr>
        <w:jc w:val="both"/>
      </w:pPr>
      <w:r>
        <w:rPr>
          <w:b/>
          <w:bCs/>
        </w:rPr>
        <w:lastRenderedPageBreak/>
        <w:t xml:space="preserve">Proposal 3.8: </w:t>
      </w:r>
      <w:r>
        <w:t>The UE should be allowed to request to the Network for a pre-configured PUSCH based SDT resource/configuration.</w:t>
      </w:r>
    </w:p>
    <w:p w14:paraId="35F222F4" w14:textId="11C95073" w:rsidR="00080512" w:rsidRPr="00A209D6" w:rsidRDefault="00B117A5" w:rsidP="00B117A5">
      <w:pPr>
        <w:jc w:val="both"/>
      </w:pPr>
      <w:r>
        <w:rPr>
          <w:b/>
          <w:bCs/>
        </w:rPr>
        <w:t xml:space="preserve">Proposal 3.9: </w:t>
      </w:r>
      <w:r>
        <w:t xml:space="preserve">Specify signalling mechanisms that allow the UE to indicate to the Network its preferences </w:t>
      </w:r>
      <w:proofErr w:type="gramStart"/>
      <w:r>
        <w:t>in regard to</w:t>
      </w:r>
      <w:proofErr w:type="gramEnd"/>
      <w:r>
        <w:t xml:space="preserve"> the time occurrence of pre-configured PUSCH based SDT.</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97EA1" w14:textId="77777777" w:rsidR="00FC2DF9" w:rsidRDefault="00FC2DF9">
      <w:r>
        <w:separator/>
      </w:r>
    </w:p>
  </w:endnote>
  <w:endnote w:type="continuationSeparator" w:id="0">
    <w:p w14:paraId="24A5FECE" w14:textId="77777777" w:rsidR="00FC2DF9" w:rsidRDefault="00FC2DF9">
      <w:r>
        <w:continuationSeparator/>
      </w:r>
    </w:p>
  </w:endnote>
  <w:endnote w:type="continuationNotice" w:id="1">
    <w:p w14:paraId="49F9DE20" w14:textId="77777777" w:rsidR="00FC2DF9" w:rsidRDefault="00FC2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32BFD" w14:textId="77777777" w:rsidR="00FC2DF9" w:rsidRDefault="00FC2DF9">
      <w:r>
        <w:separator/>
      </w:r>
    </w:p>
  </w:footnote>
  <w:footnote w:type="continuationSeparator" w:id="0">
    <w:p w14:paraId="4711BE7A" w14:textId="77777777" w:rsidR="00FC2DF9" w:rsidRDefault="00FC2DF9">
      <w:r>
        <w:continuationSeparator/>
      </w:r>
    </w:p>
  </w:footnote>
  <w:footnote w:type="continuationNotice" w:id="1">
    <w:p w14:paraId="3CC21D25" w14:textId="77777777" w:rsidR="00FC2DF9" w:rsidRDefault="00FC2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7A2"/>
    <w:rsid w:val="00040095"/>
    <w:rsid w:val="00043660"/>
    <w:rsid w:val="00065268"/>
    <w:rsid w:val="00073C9C"/>
    <w:rsid w:val="00077DA6"/>
    <w:rsid w:val="00080512"/>
    <w:rsid w:val="00090468"/>
    <w:rsid w:val="00094568"/>
    <w:rsid w:val="000B7BCF"/>
    <w:rsid w:val="000C522B"/>
    <w:rsid w:val="000D58AB"/>
    <w:rsid w:val="00112F1A"/>
    <w:rsid w:val="00145075"/>
    <w:rsid w:val="001741A0"/>
    <w:rsid w:val="00175FA0"/>
    <w:rsid w:val="00194CD0"/>
    <w:rsid w:val="001A2188"/>
    <w:rsid w:val="001B49C9"/>
    <w:rsid w:val="001C23F4"/>
    <w:rsid w:val="001C4F79"/>
    <w:rsid w:val="001F0696"/>
    <w:rsid w:val="001F168B"/>
    <w:rsid w:val="001F2D74"/>
    <w:rsid w:val="001F7831"/>
    <w:rsid w:val="00203EFA"/>
    <w:rsid w:val="00204045"/>
    <w:rsid w:val="0020712B"/>
    <w:rsid w:val="00216DDE"/>
    <w:rsid w:val="0022606D"/>
    <w:rsid w:val="00231728"/>
    <w:rsid w:val="002318E9"/>
    <w:rsid w:val="00244A05"/>
    <w:rsid w:val="00250404"/>
    <w:rsid w:val="002610D8"/>
    <w:rsid w:val="002630C1"/>
    <w:rsid w:val="002747EC"/>
    <w:rsid w:val="002855BF"/>
    <w:rsid w:val="00293E57"/>
    <w:rsid w:val="002A12AB"/>
    <w:rsid w:val="002C1AA2"/>
    <w:rsid w:val="002C3D01"/>
    <w:rsid w:val="002D155E"/>
    <w:rsid w:val="002D55FF"/>
    <w:rsid w:val="002F0D22"/>
    <w:rsid w:val="00311B17"/>
    <w:rsid w:val="003172DC"/>
    <w:rsid w:val="00325AE3"/>
    <w:rsid w:val="00326069"/>
    <w:rsid w:val="00340A7E"/>
    <w:rsid w:val="0035462D"/>
    <w:rsid w:val="0036459E"/>
    <w:rsid w:val="00364B41"/>
    <w:rsid w:val="003773AD"/>
    <w:rsid w:val="00383096"/>
    <w:rsid w:val="0039346C"/>
    <w:rsid w:val="00393E80"/>
    <w:rsid w:val="003A41EF"/>
    <w:rsid w:val="003B40AD"/>
    <w:rsid w:val="003C4E37"/>
    <w:rsid w:val="003D6B4E"/>
    <w:rsid w:val="003E16BE"/>
    <w:rsid w:val="003F4E28"/>
    <w:rsid w:val="004006E8"/>
    <w:rsid w:val="00401855"/>
    <w:rsid w:val="0040252A"/>
    <w:rsid w:val="00460360"/>
    <w:rsid w:val="0046299A"/>
    <w:rsid w:val="00462A25"/>
    <w:rsid w:val="00465587"/>
    <w:rsid w:val="00477455"/>
    <w:rsid w:val="004A1F7B"/>
    <w:rsid w:val="004C44D2"/>
    <w:rsid w:val="004D3578"/>
    <w:rsid w:val="004D380D"/>
    <w:rsid w:val="004E213A"/>
    <w:rsid w:val="004F2190"/>
    <w:rsid w:val="004F4540"/>
    <w:rsid w:val="004F73A7"/>
    <w:rsid w:val="00503171"/>
    <w:rsid w:val="00506C28"/>
    <w:rsid w:val="00512C92"/>
    <w:rsid w:val="00526756"/>
    <w:rsid w:val="00532814"/>
    <w:rsid w:val="00534DA0"/>
    <w:rsid w:val="00543E6C"/>
    <w:rsid w:val="00565087"/>
    <w:rsid w:val="0056573F"/>
    <w:rsid w:val="00571279"/>
    <w:rsid w:val="00591819"/>
    <w:rsid w:val="00593BF6"/>
    <w:rsid w:val="005A392D"/>
    <w:rsid w:val="005A49C6"/>
    <w:rsid w:val="00611566"/>
    <w:rsid w:val="00642756"/>
    <w:rsid w:val="00646D99"/>
    <w:rsid w:val="00656910"/>
    <w:rsid w:val="006574C0"/>
    <w:rsid w:val="00664DCD"/>
    <w:rsid w:val="006923D5"/>
    <w:rsid w:val="00696821"/>
    <w:rsid w:val="006B30C9"/>
    <w:rsid w:val="006C66D8"/>
    <w:rsid w:val="006D1E24"/>
    <w:rsid w:val="006D35DE"/>
    <w:rsid w:val="006E1057"/>
    <w:rsid w:val="006E1417"/>
    <w:rsid w:val="006E7C67"/>
    <w:rsid w:val="006F4685"/>
    <w:rsid w:val="006F6A2C"/>
    <w:rsid w:val="007069DC"/>
    <w:rsid w:val="00710201"/>
    <w:rsid w:val="0072073A"/>
    <w:rsid w:val="007342B5"/>
    <w:rsid w:val="00734A5B"/>
    <w:rsid w:val="00744E76"/>
    <w:rsid w:val="00757D40"/>
    <w:rsid w:val="00760F4F"/>
    <w:rsid w:val="007662B5"/>
    <w:rsid w:val="00781F0F"/>
    <w:rsid w:val="0078727C"/>
    <w:rsid w:val="0079049D"/>
    <w:rsid w:val="00793DC5"/>
    <w:rsid w:val="00796823"/>
    <w:rsid w:val="007A2E55"/>
    <w:rsid w:val="007B18D8"/>
    <w:rsid w:val="007C095F"/>
    <w:rsid w:val="007C2DD0"/>
    <w:rsid w:val="007C71FB"/>
    <w:rsid w:val="007F2E08"/>
    <w:rsid w:val="008028A4"/>
    <w:rsid w:val="0080717C"/>
    <w:rsid w:val="00813245"/>
    <w:rsid w:val="00840A73"/>
    <w:rsid w:val="00840C27"/>
    <w:rsid w:val="00840DE0"/>
    <w:rsid w:val="008607A8"/>
    <w:rsid w:val="0086354A"/>
    <w:rsid w:val="008768CA"/>
    <w:rsid w:val="00877EF9"/>
    <w:rsid w:val="00880559"/>
    <w:rsid w:val="00885D76"/>
    <w:rsid w:val="00892162"/>
    <w:rsid w:val="00897C50"/>
    <w:rsid w:val="008B5306"/>
    <w:rsid w:val="008C2E2A"/>
    <w:rsid w:val="008C3057"/>
    <w:rsid w:val="008D2E4D"/>
    <w:rsid w:val="008F396F"/>
    <w:rsid w:val="008F3DCD"/>
    <w:rsid w:val="0090271F"/>
    <w:rsid w:val="00902DB9"/>
    <w:rsid w:val="0090466A"/>
    <w:rsid w:val="00923655"/>
    <w:rsid w:val="00931326"/>
    <w:rsid w:val="00936071"/>
    <w:rsid w:val="009376CD"/>
    <w:rsid w:val="00940212"/>
    <w:rsid w:val="00942EC2"/>
    <w:rsid w:val="00961B32"/>
    <w:rsid w:val="00962509"/>
    <w:rsid w:val="00970DB3"/>
    <w:rsid w:val="00971C6F"/>
    <w:rsid w:val="00974BB0"/>
    <w:rsid w:val="00975BCD"/>
    <w:rsid w:val="00990E62"/>
    <w:rsid w:val="009928A9"/>
    <w:rsid w:val="009A0AF3"/>
    <w:rsid w:val="009B07CD"/>
    <w:rsid w:val="009C19E9"/>
    <w:rsid w:val="009D224B"/>
    <w:rsid w:val="009D74A6"/>
    <w:rsid w:val="009E0E87"/>
    <w:rsid w:val="00A01866"/>
    <w:rsid w:val="00A10F02"/>
    <w:rsid w:val="00A204CA"/>
    <w:rsid w:val="00A209D6"/>
    <w:rsid w:val="00A22738"/>
    <w:rsid w:val="00A430EC"/>
    <w:rsid w:val="00A53724"/>
    <w:rsid w:val="00A54B2B"/>
    <w:rsid w:val="00A70C63"/>
    <w:rsid w:val="00A82346"/>
    <w:rsid w:val="00A9671C"/>
    <w:rsid w:val="00AA1553"/>
    <w:rsid w:val="00AE1422"/>
    <w:rsid w:val="00AF1A24"/>
    <w:rsid w:val="00AF68D1"/>
    <w:rsid w:val="00B05380"/>
    <w:rsid w:val="00B05962"/>
    <w:rsid w:val="00B117A5"/>
    <w:rsid w:val="00B15449"/>
    <w:rsid w:val="00B16C2F"/>
    <w:rsid w:val="00B269B9"/>
    <w:rsid w:val="00B27303"/>
    <w:rsid w:val="00B47FD1"/>
    <w:rsid w:val="00B516BB"/>
    <w:rsid w:val="00B606E6"/>
    <w:rsid w:val="00B62E17"/>
    <w:rsid w:val="00B7538C"/>
    <w:rsid w:val="00B84DB2"/>
    <w:rsid w:val="00BB313E"/>
    <w:rsid w:val="00BC3555"/>
    <w:rsid w:val="00BF3A3E"/>
    <w:rsid w:val="00C12B51"/>
    <w:rsid w:val="00C24650"/>
    <w:rsid w:val="00C25465"/>
    <w:rsid w:val="00C33079"/>
    <w:rsid w:val="00C55A12"/>
    <w:rsid w:val="00C6553E"/>
    <w:rsid w:val="00C83A13"/>
    <w:rsid w:val="00C86F10"/>
    <w:rsid w:val="00C9068C"/>
    <w:rsid w:val="00C92967"/>
    <w:rsid w:val="00C970B3"/>
    <w:rsid w:val="00CA1839"/>
    <w:rsid w:val="00CA3D0C"/>
    <w:rsid w:val="00CA654B"/>
    <w:rsid w:val="00CB72B8"/>
    <w:rsid w:val="00CD0BA8"/>
    <w:rsid w:val="00CD4C7B"/>
    <w:rsid w:val="00CD58FE"/>
    <w:rsid w:val="00CE1372"/>
    <w:rsid w:val="00CF355C"/>
    <w:rsid w:val="00CF5BE3"/>
    <w:rsid w:val="00D212B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F17"/>
    <w:rsid w:val="00DC309B"/>
    <w:rsid w:val="00DC4DA2"/>
    <w:rsid w:val="00DC5261"/>
    <w:rsid w:val="00DE25D2"/>
    <w:rsid w:val="00DF7F50"/>
    <w:rsid w:val="00E06F60"/>
    <w:rsid w:val="00E422EE"/>
    <w:rsid w:val="00E46C08"/>
    <w:rsid w:val="00E471CF"/>
    <w:rsid w:val="00E62835"/>
    <w:rsid w:val="00E733F6"/>
    <w:rsid w:val="00E77645"/>
    <w:rsid w:val="00E83697"/>
    <w:rsid w:val="00E83948"/>
    <w:rsid w:val="00E859B6"/>
    <w:rsid w:val="00E9491C"/>
    <w:rsid w:val="00EA66C9"/>
    <w:rsid w:val="00EC4A25"/>
    <w:rsid w:val="00EF403B"/>
    <w:rsid w:val="00EF612C"/>
    <w:rsid w:val="00F025A2"/>
    <w:rsid w:val="00F036E9"/>
    <w:rsid w:val="00F07388"/>
    <w:rsid w:val="00F2026E"/>
    <w:rsid w:val="00F2210A"/>
    <w:rsid w:val="00F23E2E"/>
    <w:rsid w:val="00F31372"/>
    <w:rsid w:val="00F37743"/>
    <w:rsid w:val="00F52988"/>
    <w:rsid w:val="00F54A3D"/>
    <w:rsid w:val="00F54CB0"/>
    <w:rsid w:val="00F579CD"/>
    <w:rsid w:val="00F6448B"/>
    <w:rsid w:val="00F653B8"/>
    <w:rsid w:val="00F71B89"/>
    <w:rsid w:val="00F7353C"/>
    <w:rsid w:val="00F76F8F"/>
    <w:rsid w:val="00F8051C"/>
    <w:rsid w:val="00F87725"/>
    <w:rsid w:val="00F9200C"/>
    <w:rsid w:val="00F941DF"/>
    <w:rsid w:val="00F9501B"/>
    <w:rsid w:val="00F956F8"/>
    <w:rsid w:val="00F9640D"/>
    <w:rsid w:val="00F97F1E"/>
    <w:rsid w:val="00FA1266"/>
    <w:rsid w:val="00FB36FA"/>
    <w:rsid w:val="00FB6366"/>
    <w:rsid w:val="00FC1192"/>
    <w:rsid w:val="00FC2DF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E7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B6F17"/>
    <w:rPr>
      <w:rFonts w:ascii="Arial" w:hAnsi="Arial"/>
      <w:sz w:val="32"/>
      <w:lang w:eastAsia="en-US"/>
    </w:rPr>
  </w:style>
  <w:style w:type="character" w:customStyle="1" w:styleId="Doc-text2Char">
    <w:name w:val="Doc-text2 Char"/>
    <w:link w:val="Doc-text2"/>
    <w:qFormat/>
    <w:locked/>
    <w:rsid w:val="00DB6F17"/>
    <w:rPr>
      <w:rFonts w:ascii="Arial" w:eastAsia="MS Mincho" w:hAnsi="Arial" w:cs="Arial"/>
      <w:szCs w:val="24"/>
    </w:rPr>
  </w:style>
  <w:style w:type="paragraph" w:customStyle="1" w:styleId="Doc-text2">
    <w:name w:val="Doc-text2"/>
    <w:basedOn w:val="Normal"/>
    <w:link w:val="Doc-text2Char"/>
    <w:qFormat/>
    <w:rsid w:val="00DB6F17"/>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02285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21624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369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1958</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12494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Samuli</cp:lastModifiedBy>
  <cp:revision>18</cp:revision>
  <dcterms:created xsi:type="dcterms:W3CDTF">2022-02-14T07:54:00Z</dcterms:created>
  <dcterms:modified xsi:type="dcterms:W3CDTF">2022-02-14T14:17:00Z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